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45BA0">
      <w:pPr>
        <w:wordWrap w:val="0"/>
        <w:jc w:val="right"/>
        <w:rPr>
          <w:rFonts w:hint="eastAsia" w:ascii="宋体" w:hAnsi="宋体" w:cs="宋体"/>
          <w:kern w:val="0"/>
          <w:sz w:val="24"/>
        </w:rPr>
      </w:pPr>
      <w:r>
        <w:rPr>
          <w:rFonts w:ascii="宋体" w:hAnsi="宋体" w:cs="宋体"/>
          <w:kern w:val="0"/>
          <w:sz w:val="24"/>
        </w:rPr>
        <w:drawing>
          <wp:inline distT="0" distB="0" distL="0" distR="0">
            <wp:extent cx="1938655" cy="850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938655" cy="850900"/>
                    </a:xfrm>
                    <a:prstGeom prst="rect">
                      <a:avLst/>
                    </a:prstGeom>
                    <a:noFill/>
                    <a:ln>
                      <a:noFill/>
                    </a:ln>
                  </pic:spPr>
                </pic:pic>
              </a:graphicData>
            </a:graphic>
          </wp:inline>
        </w:drawing>
      </w:r>
      <w:r>
        <w:rPr>
          <w:rFonts w:hint="eastAsia" w:ascii="宋体" w:hAnsi="宋体" w:cs="宋体"/>
          <w:kern w:val="0"/>
          <w:sz w:val="24"/>
        </w:rPr>
        <w:t xml:space="preserve">    </w:t>
      </w:r>
    </w:p>
    <w:p w14:paraId="5D0BE0A4">
      <w:pPr>
        <w:spacing w:before="624" w:beforeLines="200" w:line="360" w:lineRule="auto"/>
        <w:jc w:val="center"/>
        <w:rPr>
          <w:rFonts w:hint="eastAsia" w:ascii="宋体" w:hAnsi="宋体"/>
          <w:b/>
          <w:spacing w:val="40"/>
          <w:sz w:val="52"/>
          <w:szCs w:val="52"/>
        </w:rPr>
      </w:pPr>
      <w:r>
        <w:rPr>
          <w:rFonts w:hint="eastAsia" w:ascii="宋体" w:hAnsi="宋体"/>
          <w:b/>
          <w:spacing w:val="40"/>
          <w:sz w:val="52"/>
          <w:szCs w:val="52"/>
        </w:rPr>
        <w:t>中华人民共和国国家计量技术规范</w:t>
      </w:r>
    </w:p>
    <w:p w14:paraId="2BB5D36A">
      <w:pPr>
        <w:jc w:val="center"/>
        <w:rPr>
          <w:rFonts w:eastAsia="方正大标宋简体"/>
          <w:sz w:val="24"/>
        </w:rPr>
      </w:pPr>
    </w:p>
    <w:p w14:paraId="797C4932">
      <w:pPr>
        <w:pStyle w:val="3"/>
        <w:spacing w:line="420" w:lineRule="exact"/>
        <w:ind w:firstLine="4760" w:firstLineChars="1700"/>
        <w:jc w:val="both"/>
        <w:rPr>
          <w:rFonts w:hint="eastAsia" w:ascii="黑体" w:hAnsi="黑体" w:eastAsia="黑体"/>
          <w:sz w:val="28"/>
        </w:rPr>
      </w:pPr>
      <w:bookmarkStart w:id="0" w:name="_Toc514316609"/>
      <w:r>
        <w:rPr>
          <w:rFonts w:hint="eastAsia"/>
          <w:sz w:val="28"/>
        </w:rPr>
        <w:t xml:space="preserve">        </w:t>
      </w:r>
      <w:r>
        <w:rPr>
          <w:rFonts w:hint="eastAsia" w:ascii="黑体" w:hAnsi="黑体" w:eastAsia="黑体"/>
          <w:sz w:val="28"/>
        </w:rPr>
        <w:t xml:space="preserve"> </w:t>
      </w:r>
      <w:bookmarkStart w:id="1" w:name="_Toc54707736"/>
      <w:bookmarkStart w:id="2" w:name="_Toc529806650"/>
      <w:bookmarkStart w:id="3" w:name="_Toc150424185"/>
      <w:bookmarkStart w:id="4" w:name="_Toc101442443"/>
      <w:bookmarkStart w:id="5" w:name="_Toc101281453"/>
      <w:r>
        <w:rPr>
          <w:rFonts w:hint="eastAsia" w:ascii="黑体" w:hAnsi="黑体" w:eastAsia="黑体"/>
          <w:sz w:val="28"/>
        </w:rPr>
        <w:t>JJF XXXX-XXXX</w:t>
      </w:r>
      <w:bookmarkEnd w:id="0"/>
      <w:bookmarkEnd w:id="1"/>
      <w:bookmarkEnd w:id="2"/>
      <w:bookmarkEnd w:id="3"/>
      <w:bookmarkEnd w:id="4"/>
      <w:bookmarkEnd w:id="5"/>
    </w:p>
    <w:p w14:paraId="3010EC24">
      <w:pPr>
        <w:rPr>
          <w:rFonts w:eastAsia="方正大标宋简体"/>
          <w:sz w:val="24"/>
        </w:rPr>
      </w:pPr>
    </w:p>
    <w:p w14:paraId="143FE6FD">
      <w:pPr>
        <w:rPr>
          <w:rFonts w:eastAsia="方正大标宋简体"/>
          <w:sz w:val="24"/>
        </w:rPr>
      </w:pPr>
      <w: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6221730" cy="0"/>
                <wp:effectExtent l="0" t="0" r="0" b="0"/>
                <wp:wrapNone/>
                <wp:docPr id="1879201999"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cmpd="sng">
                          <a:solidFill>
                            <a:srgbClr val="000000"/>
                          </a:solidFill>
                          <a:round/>
                        </a:ln>
                      </wps:spPr>
                      <wps:bodyPr/>
                    </wps:wsp>
                  </a:graphicData>
                </a:graphic>
              </wp:anchor>
            </w:drawing>
          </mc:Choice>
          <mc:Fallback>
            <w:pict>
              <v:line id="直接连接符 4" o:spid="_x0000_s1026" o:spt="20" style="position:absolute;left:0pt;margin-left:-18pt;margin-top:0pt;height:0pt;width:489.9pt;z-index:251661312;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BgD9uZ8gEAAL8DAAAOAAAAZHJzL2Uyb0RvYy54bWytU81uEzEQ&#10;viPxDpbvZJMAbbPKpodE5VIgUssDOF7vroXtsTxONnkJXgCJG5w49s7bUB6DsfNDKZce2INlezzf&#10;fN83s9PLrTVsowJqcBUfDYacKSeh1q6t+IfbqxcXnGEUrhYGnKr4TiG/nD1/Nu19qcbQgalVYATi&#10;sOx9xbsYfVkUKDtlBQ7AK0fBBoIVkY6hLeogekK3phgPh2dFD6H2AaRCpNvFPsgPiOEpgNA0WqoF&#10;yLVVLu5RgzIikiTstEc+y2ybRsn4vmlQRWYqTkpjXqkI7VdpLWZTUbZB+E7LAwXxFAqPNFmhHRU9&#10;QS1EFGwd9D9QVssACE0cSLDFXkh2hFSMho+8uemEV1kLWY3+ZDr+P1j5brMMTNc0CRfnE+IwmUw4&#10;c8JS5+8/3/389PXXjy+03n//xl4lt3qPJSXN3TIkvXLrbvw1yI/IHMw74VqVWd/uPCGMUkbxV0o6&#10;oKeaq/4t1PRGrCNk67ZNsAmSTGHb3KHdqUNqG5mky7PxeHT+kponj7FClMdEHzC+UWBZ2lTcaJfM&#10;E6XYXGNMRER5fJKuHVxpY/IAGMd6YjsZvk7Q1pMd6NqcjGB0nR6mFAztam4C24g0TvnLCiny8FmA&#10;tav3BY07GJA0791bQb1bhqMx1NfM7DCDaXAennP2n/9u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zJMur1AAAAAUBAAAPAAAAAAAAAAEAIAAAACIAAABkcnMvZG93bnJldi54bWxQSwECFAAUAAAA&#10;CACHTuJAYA/bmfIBAAC/AwAADgAAAAAAAAABACAAAAAjAQAAZHJzL2Uyb0RvYy54bWxQSwUGAAAA&#10;AAYABgBZAQAAhwUAAAAA&#10;">
                <v:fill on="f" focussize="0,0"/>
                <v:stroke weight="1.5pt" color="#000000" joinstyle="round"/>
                <v:imagedata o:title=""/>
                <o:lock v:ext="edit" aspectratio="f"/>
              </v:line>
            </w:pict>
          </mc:Fallback>
        </mc:AlternateContent>
      </w:r>
    </w:p>
    <w:p w14:paraId="728D3D71">
      <w:pPr>
        <w:rPr>
          <w:color w:val="000000"/>
          <w:sz w:val="24"/>
          <w:szCs w:val="24"/>
        </w:rPr>
      </w:pPr>
    </w:p>
    <w:p w14:paraId="2F7B0778">
      <w:pPr>
        <w:rPr>
          <w:color w:val="000000"/>
          <w:sz w:val="24"/>
          <w:szCs w:val="24"/>
        </w:rPr>
      </w:pPr>
    </w:p>
    <w:p w14:paraId="1DDA6455">
      <w:pPr>
        <w:rPr>
          <w:color w:val="000000"/>
          <w:sz w:val="24"/>
          <w:szCs w:val="24"/>
        </w:rPr>
      </w:pPr>
    </w:p>
    <w:p w14:paraId="5E47CD45">
      <w:pPr>
        <w:rPr>
          <w:color w:val="000000"/>
          <w:sz w:val="24"/>
          <w:szCs w:val="24"/>
        </w:rPr>
      </w:pPr>
    </w:p>
    <w:p w14:paraId="039AB958">
      <w:pPr>
        <w:jc w:val="center"/>
        <w:rPr>
          <w:rFonts w:ascii="黑体" w:eastAsia="黑体"/>
          <w:color w:val="000000"/>
          <w:sz w:val="52"/>
          <w:szCs w:val="52"/>
        </w:rPr>
      </w:pPr>
      <w:r>
        <w:rPr>
          <w:rFonts w:hint="eastAsia" w:eastAsia="黑体" w:cs="黑体"/>
          <w:sz w:val="52"/>
          <w:szCs w:val="52"/>
        </w:rPr>
        <w:t>固体材料烟密度仪校准规范</w:t>
      </w:r>
    </w:p>
    <w:p w14:paraId="61C5204F">
      <w:pPr>
        <w:adjustRightInd w:val="0"/>
        <w:snapToGrid w:val="0"/>
        <w:spacing w:line="360" w:lineRule="auto"/>
        <w:jc w:val="center"/>
        <w:rPr>
          <w:rFonts w:hint="eastAsia" w:ascii="黑体" w:hAnsi="黑体" w:eastAsia="黑体"/>
          <w:b/>
          <w:bCs/>
          <w:sz w:val="28"/>
          <w:szCs w:val="28"/>
        </w:rPr>
      </w:pPr>
      <w:r>
        <w:rPr>
          <w:rFonts w:ascii="黑体" w:hAnsi="黑体" w:eastAsia="黑体"/>
          <w:b/>
          <w:bCs/>
          <w:sz w:val="28"/>
          <w:szCs w:val="28"/>
        </w:rPr>
        <w:t xml:space="preserve">Calibration Specification for </w:t>
      </w:r>
      <w:r>
        <w:rPr>
          <w:rFonts w:hint="eastAsia" w:ascii="黑体" w:hAnsi="黑体" w:eastAsia="黑体"/>
          <w:b/>
          <w:bCs/>
          <w:sz w:val="28"/>
          <w:szCs w:val="28"/>
        </w:rPr>
        <w:t xml:space="preserve">Solid </w:t>
      </w:r>
      <w:r>
        <w:rPr>
          <w:rFonts w:ascii="黑体" w:hAnsi="黑体" w:eastAsia="黑体"/>
          <w:b/>
          <w:bCs/>
          <w:sz w:val="28"/>
          <w:szCs w:val="28"/>
        </w:rPr>
        <w:t xml:space="preserve">Material </w:t>
      </w:r>
      <w:r>
        <w:rPr>
          <w:rFonts w:hint="eastAsia" w:ascii="黑体" w:hAnsi="黑体" w:eastAsia="黑体"/>
          <w:b/>
          <w:bCs/>
          <w:sz w:val="28"/>
          <w:szCs w:val="28"/>
        </w:rPr>
        <w:t>S</w:t>
      </w:r>
      <w:r>
        <w:rPr>
          <w:rFonts w:ascii="黑体" w:hAnsi="黑体" w:eastAsia="黑体"/>
          <w:b/>
          <w:bCs/>
          <w:sz w:val="28"/>
          <w:szCs w:val="28"/>
        </w:rPr>
        <w:t xml:space="preserve">moke </w:t>
      </w:r>
      <w:r>
        <w:rPr>
          <w:rFonts w:hint="eastAsia" w:ascii="黑体" w:hAnsi="黑体" w:eastAsia="黑体"/>
          <w:b/>
          <w:bCs/>
          <w:sz w:val="28"/>
          <w:szCs w:val="28"/>
        </w:rPr>
        <w:t>D</w:t>
      </w:r>
      <w:r>
        <w:rPr>
          <w:rFonts w:ascii="黑体" w:hAnsi="黑体" w:eastAsia="黑体"/>
          <w:b/>
          <w:bCs/>
          <w:sz w:val="28"/>
          <w:szCs w:val="28"/>
        </w:rPr>
        <w:t xml:space="preserve">ensity </w:t>
      </w:r>
      <w:r>
        <w:rPr>
          <w:rFonts w:hint="eastAsia" w:ascii="黑体" w:hAnsi="黑体" w:eastAsia="黑体"/>
          <w:b/>
          <w:bCs/>
          <w:sz w:val="28"/>
          <w:szCs w:val="28"/>
        </w:rPr>
        <w:t>M</w:t>
      </w:r>
      <w:r>
        <w:rPr>
          <w:rFonts w:ascii="黑体" w:hAnsi="黑体" w:eastAsia="黑体"/>
          <w:b/>
          <w:bCs/>
          <w:sz w:val="28"/>
          <w:szCs w:val="28"/>
        </w:rPr>
        <w:t>eter</w:t>
      </w:r>
    </w:p>
    <w:p w14:paraId="62757181">
      <w:pPr>
        <w:adjustRightInd w:val="0"/>
        <w:snapToGrid w:val="0"/>
        <w:spacing w:line="360" w:lineRule="auto"/>
        <w:jc w:val="center"/>
        <w:rPr>
          <w:rFonts w:hint="eastAsia" w:ascii="黑体" w:hAnsi="黑体" w:eastAsia="黑体"/>
          <w:b/>
          <w:bCs/>
          <w:sz w:val="28"/>
          <w:szCs w:val="28"/>
        </w:rPr>
      </w:pPr>
    </w:p>
    <w:p w14:paraId="4E9056E7">
      <w:pPr>
        <w:jc w:val="center"/>
        <w:rPr>
          <w:rFonts w:ascii="黑体" w:eastAsia="黑体"/>
          <w:color w:val="000000"/>
          <w:sz w:val="28"/>
          <w:szCs w:val="28"/>
        </w:rPr>
      </w:pPr>
    </w:p>
    <w:p w14:paraId="1262AB1F">
      <w:pPr>
        <w:jc w:val="center"/>
        <w:rPr>
          <w:rFonts w:ascii="黑体" w:eastAsia="黑体"/>
          <w:color w:val="000000"/>
          <w:sz w:val="28"/>
          <w:szCs w:val="28"/>
        </w:rPr>
      </w:pPr>
      <w:r>
        <w:rPr>
          <w:rFonts w:hint="eastAsia" w:ascii="黑体" w:eastAsia="黑体"/>
          <w:color w:val="000000"/>
          <w:sz w:val="28"/>
          <w:szCs w:val="28"/>
        </w:rPr>
        <w:t>（</w:t>
      </w:r>
      <w:r>
        <w:rPr>
          <w:rFonts w:hint="eastAsia" w:ascii="黑体" w:eastAsia="黑体"/>
          <w:color w:val="000000"/>
          <w:sz w:val="28"/>
          <w:szCs w:val="28"/>
          <w:lang w:val="en-US" w:eastAsia="zh-CN"/>
        </w:rPr>
        <w:t>征求意见稿</w:t>
      </w:r>
      <w:r>
        <w:rPr>
          <w:rFonts w:hint="eastAsia" w:ascii="黑体" w:eastAsia="黑体"/>
          <w:color w:val="000000"/>
          <w:sz w:val="28"/>
          <w:szCs w:val="28"/>
        </w:rPr>
        <w:t>）</w:t>
      </w:r>
    </w:p>
    <w:p w14:paraId="6E4B7783">
      <w:pPr>
        <w:rPr>
          <w:color w:val="000000"/>
          <w:sz w:val="24"/>
          <w:szCs w:val="24"/>
        </w:rPr>
      </w:pPr>
    </w:p>
    <w:p w14:paraId="6034BFB8">
      <w:pPr>
        <w:rPr>
          <w:color w:val="000000"/>
          <w:sz w:val="24"/>
          <w:szCs w:val="24"/>
        </w:rPr>
      </w:pPr>
    </w:p>
    <w:p w14:paraId="62ABDBAB">
      <w:pPr>
        <w:rPr>
          <w:color w:val="000000"/>
          <w:sz w:val="24"/>
          <w:szCs w:val="24"/>
        </w:rPr>
      </w:pPr>
    </w:p>
    <w:p w14:paraId="7617298D">
      <w:pPr>
        <w:rPr>
          <w:color w:val="000000"/>
          <w:sz w:val="24"/>
          <w:szCs w:val="24"/>
        </w:rPr>
      </w:pPr>
    </w:p>
    <w:p w14:paraId="71A1FEC8">
      <w:pPr>
        <w:rPr>
          <w:color w:val="000000"/>
          <w:sz w:val="24"/>
          <w:szCs w:val="24"/>
        </w:rPr>
      </w:pPr>
    </w:p>
    <w:p w14:paraId="6EB82288">
      <w:pPr>
        <w:rPr>
          <w:color w:val="000000"/>
          <w:sz w:val="24"/>
          <w:szCs w:val="24"/>
        </w:rPr>
      </w:pPr>
    </w:p>
    <w:p w14:paraId="2911C08E">
      <w:pPr>
        <w:rPr>
          <w:color w:val="000000"/>
          <w:sz w:val="24"/>
          <w:szCs w:val="24"/>
        </w:rPr>
      </w:pPr>
    </w:p>
    <w:p w14:paraId="2914D8E3">
      <w:pPr>
        <w:rPr>
          <w:color w:val="000000"/>
          <w:sz w:val="24"/>
          <w:szCs w:val="24"/>
        </w:rPr>
      </w:pPr>
    </w:p>
    <w:p w14:paraId="1FD13304">
      <w:pPr>
        <w:rPr>
          <w:color w:val="000000"/>
          <w:sz w:val="24"/>
          <w:szCs w:val="24"/>
        </w:rPr>
      </w:pPr>
    </w:p>
    <w:p w14:paraId="379EDCEC">
      <w:pPr>
        <w:rPr>
          <w:color w:val="000000"/>
          <w:sz w:val="24"/>
          <w:szCs w:val="24"/>
        </w:rPr>
      </w:pPr>
    </w:p>
    <w:p w14:paraId="648E139D">
      <w:pPr>
        <w:spacing w:after="156" w:afterLines="50"/>
        <w:rPr>
          <w:rFonts w:ascii="黑体" w:eastAsia="黑体"/>
          <w:b/>
          <w:bCs/>
          <w:sz w:val="28"/>
        </w:rPr>
      </w:pPr>
      <w:bookmarkStart w:id="6" w:name="_Toc511311514"/>
      <w:bookmarkStart w:id="7" w:name="_Toc511320447"/>
      <w:r>
        <w:rPr>
          <w:rFonts w:hint="eastAsia" w:ascii="黑体" w:eastAsia="黑体"/>
          <w:b/>
          <w:bCs/>
          <w:sz w:val="28"/>
        </w:rPr>
        <w:t>XXXX-XX-XX发布</w:t>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 xml:space="preserve">  XXXX-XX-XX实施</w:t>
      </w:r>
      <w: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452755</wp:posOffset>
                </wp:positionV>
                <wp:extent cx="6221730" cy="0"/>
                <wp:effectExtent l="0" t="0" r="0" b="0"/>
                <wp:wrapNone/>
                <wp:docPr id="94709043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cmpd="sng">
                          <a:solidFill>
                            <a:srgbClr val="000000"/>
                          </a:solidFill>
                          <a:round/>
                        </a:ln>
                      </wps:spPr>
                      <wps:bodyPr/>
                    </wps:wsp>
                  </a:graphicData>
                </a:graphic>
              </wp:anchor>
            </w:drawing>
          </mc:Choice>
          <mc:Fallback>
            <w:pict>
              <v:line id="直接连接符 3" o:spid="_x0000_s1026" o:spt="20" style="position:absolute;left:0pt;margin-left:-18pt;margin-top:35.65pt;height:0pt;width:489.9pt;z-index:251661312;mso-width-relative:page;mso-height-relative:page;" filled="f" stroked="t" coordsize="21600,21600" o:gfxdata="UEsDBAoAAAAAAIdO4kAAAAAAAAAAAAAAAAAEAAAAZHJzL1BLAwQUAAAACACHTuJA0C0jU9YAAAAJ&#10;AQAADwAAAGRycy9kb3ducmV2LnhtbE2PwU7DMAyG70i8Q2QkbltaOkZXmk5iEpfdKBNw9JrQViRO&#10;1WTd+vYYcYCj7V+fv7/cXpwVkxlD70lBukxAGGq87qlVcHh9XuQgQkTSaD0ZBbMJsK2ur0ostD/T&#10;i5nq2AqGUChQQRfjUEgZms44DEs/GOLbpx8dRh7HVuoRzwx3Vt4lyVo67Ik/dDiYXWear/rkmHL/&#10;nj/tMT/Ms60/Nqvd234ip9TtTZo8gojmEv/C8KPP6lCx09GfSAdhFSyyNXeJCh7SDAQHNquMuxx/&#10;F7Iq5f8G1TdQSwMEFAAAAAgAh07iQLc63kvyAQAAvgMAAA4AAABkcnMvZTJvRG9jLnhtbK1TzW4T&#10;MRC+I/EOlu9kN0lpySqbHhKVS4FKLQ/geL1ZC9tjeZxs8hK8ABI3OHHkzttQHoOx80Mplx7Yg2V7&#10;Zr75vm+808utNWyjAmpwNR8OSs6Uk9Bot6r5+7urF684wyhcIww4VfOdQn45e/5s2vtKjaAD06jA&#10;CMRh1fuadzH6qihQdsoKHIBXjoItBCsiHcOqaILoCd2aYlSW50UPofEBpEKk28U+yA+I4SmA0LZa&#10;qgXItVUu7lGDMiKSJOy0Rz7LbNtWyfiubVFFZmpOSmNeqQntl2ktZlNRrYLwnZYHCuIpFB5pskI7&#10;anqCWogo2Drof6CslgEQ2jiQYIu9kOwIqRiWj7y57YRXWQtZjf5kOv4/WPl2cxOYbmo+ObsoJ+XZ&#10;eMSZE5YGf//p+8+PX379+Ezr/bevbJzM6j1WVDN3NyHJlVt3669BfkDmYN4Jt1KZ9N3OE8IwVRR/&#10;laQDemq57N9AQzliHSE7t22DTZDkCdvmAe1OA1LbyCRdno9Gw4sxzU4eY4WojoU+YHytwLK0qbnR&#10;LnknKrG5xpiIiOqYkq4dXGlj8vyNYz2xnZQvE7T15Aa6VS5GMLpJiakEw2o5N4FtRHpN+csKKfIw&#10;LcDaNfuGxh0MSJr37i2h2d2EozE01szs8ATTu3l4ztV/frv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AtI1PWAAAACQEAAA8AAAAAAAAAAQAgAAAAIgAAAGRycy9kb3ducmV2LnhtbFBLAQIUABQA&#10;AAAIAIdO4kC3Ot5L8gEAAL4DAAAOAAAAAAAAAAEAIAAAACUBAABkcnMvZTJvRG9jLnhtbFBLBQYA&#10;AAAABgAGAFkBAACJBQAAAAA=&#10;">
                <v:fill on="f" focussize="0,0"/>
                <v:stroke weight="1.5pt" color="#000000" joinstyle="round"/>
                <v:imagedata o:title=""/>
                <o:lock v:ext="edit" aspectratio="f"/>
              </v:line>
            </w:pict>
          </mc:Fallback>
        </mc:AlternateContent>
      </w:r>
    </w:p>
    <w:p w14:paraId="39934B9F">
      <w:pPr>
        <w:jc w:val="center"/>
        <w:rPr>
          <w:sz w:val="24"/>
        </w:rPr>
        <w:sectPr>
          <w:headerReference r:id="rId4" w:type="first"/>
          <w:footerReference r:id="rId6" w:type="first"/>
          <w:headerReference r:id="rId3" w:type="default"/>
          <w:footerReference r:id="rId5" w:type="default"/>
          <w:footnotePr>
            <w:numFmt w:val="decimalFullWidth"/>
            <w:numRestart w:val="eachPage"/>
          </w:footnotePr>
          <w:pgSz w:w="11906" w:h="16838"/>
          <w:pgMar w:top="1588" w:right="1418" w:bottom="1418" w:left="1418" w:header="851" w:footer="992" w:gutter="0"/>
          <w:cols w:space="720" w:num="1"/>
          <w:docGrid w:type="lines" w:linePitch="312" w:charSpace="0"/>
        </w:sectPr>
      </w:pPr>
      <w:r>
        <w:rPr>
          <w:rFonts w:hint="eastAsia" w:ascii="宋体" w:hAnsi="宋体"/>
          <w:b/>
          <w:spacing w:val="60"/>
          <w:sz w:val="44"/>
          <w:szCs w:val="44"/>
        </w:rPr>
        <w:t>国家市场监督管理总局</w:t>
      </w:r>
      <w:r>
        <w:rPr>
          <w:rFonts w:hint="eastAsia" w:ascii="黑体" w:eastAsia="黑体"/>
          <w:bCs/>
          <w:sz w:val="28"/>
        </w:rPr>
        <w:t>发 布</w:t>
      </w:r>
    </w:p>
    <w:p w14:paraId="62C8E794">
      <w:pPr>
        <w:tabs>
          <w:tab w:val="left" w:pos="6079"/>
        </w:tabs>
        <w:spacing w:line="700" w:lineRule="exact"/>
        <w:ind w:firstLine="482" w:firstLineChars="100"/>
        <w:rPr>
          <w:rFonts w:hint="eastAsia" w:ascii="黑体" w:hAnsi="黑体" w:eastAsia="黑体"/>
          <w:b/>
          <w:spacing w:val="20"/>
          <w:sz w:val="44"/>
          <w:szCs w:val="44"/>
        </w:rPr>
      </w:pPr>
    </w:p>
    <w:p w14:paraId="50690A48">
      <w:pPr>
        <w:tabs>
          <w:tab w:val="left" w:pos="6079"/>
        </w:tabs>
        <w:spacing w:line="700" w:lineRule="exact"/>
        <w:rPr>
          <w:rFonts w:eastAsia="方正大黑简体"/>
          <w:b/>
          <w:color w:val="FF0000"/>
          <w:spacing w:val="20"/>
          <w:sz w:val="40"/>
        </w:rPr>
      </w:pPr>
      <w:r>
        <w:rPr>
          <w:rFonts w:hint="eastAsia" w:ascii="黑体" w:hAnsi="黑体" w:eastAsia="黑体"/>
          <w:b/>
          <w:spacing w:val="20"/>
          <w:sz w:val="44"/>
          <w:szCs w:val="44"/>
        </w:rPr>
        <w:t>固体材料烟密度仪校准规范</w:t>
      </w:r>
      <w:r>
        <w:drawing>
          <wp:anchor distT="0" distB="0" distL="114300" distR="114300" simplePos="0" relativeHeight="251659264" behindDoc="1" locked="1" layoutInCell="1" allowOverlap="1">
            <wp:simplePos x="0" y="0"/>
            <wp:positionH relativeFrom="page">
              <wp:posOffset>4693285</wp:posOffset>
            </wp:positionH>
            <wp:positionV relativeFrom="page">
              <wp:posOffset>1158240</wp:posOffset>
            </wp:positionV>
            <wp:extent cx="1963420" cy="790575"/>
            <wp:effectExtent l="0" t="0" r="0" b="0"/>
            <wp:wrapNone/>
            <wp:docPr id="103" name="_x0000_s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_x0000_s11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63420" cy="790575"/>
                    </a:xfrm>
                    <a:prstGeom prst="rect">
                      <a:avLst/>
                    </a:prstGeom>
                    <a:noFill/>
                    <a:ln>
                      <a:noFill/>
                    </a:ln>
                  </pic:spPr>
                </pic:pic>
              </a:graphicData>
            </a:graphic>
          </wp:anchor>
        </w:drawing>
      </w:r>
      <w:r>
        <w:rPr>
          <w:rFonts w:hint="eastAsia" w:ascii="黑体" w:hAnsi="黑体" w:eastAsia="黑体"/>
          <w:b/>
          <w:spacing w:val="20"/>
          <w:sz w:val="44"/>
          <w:szCs w:val="44"/>
        </w:rPr>
        <w:t xml:space="preserve">       </w:t>
      </w:r>
      <w:r>
        <w:rPr>
          <w:rFonts w:hint="eastAsia" w:ascii="黑体" w:hAnsi="黑体" w:eastAsia="黑体"/>
          <w:spacing w:val="20"/>
          <w:sz w:val="28"/>
          <w:szCs w:val="28"/>
        </w:rPr>
        <w:t>JJFXXXX-XXXX</w:t>
      </w:r>
    </w:p>
    <w:p w14:paraId="68BC4D1C">
      <w:pPr>
        <w:spacing w:line="700" w:lineRule="exact"/>
        <w:rPr>
          <w:rFonts w:hint="eastAsia" w:ascii="黑体" w:hAnsi="黑体" w:eastAsia="黑体"/>
          <w:b/>
          <w:bCs/>
          <w:color w:val="0000FF"/>
          <w:sz w:val="28"/>
          <w:szCs w:val="28"/>
        </w:rPr>
      </w:pPr>
      <w:r>
        <w:rPr>
          <w:rFonts w:hint="eastAsia" w:ascii="黑体" w:hAnsi="黑体" w:eastAsia="黑体"/>
          <w:b/>
          <w:bCs/>
          <w:sz w:val="28"/>
          <w:szCs w:val="28"/>
        </w:rPr>
        <w:t>Calibration Specification</w:t>
      </w:r>
      <w:r>
        <w:rPr>
          <w:rFonts w:ascii="黑体" w:hAnsi="黑体" w:eastAsia="黑体"/>
          <w:b/>
          <w:bCs/>
          <w:sz w:val="28"/>
          <w:szCs w:val="28"/>
        </w:rPr>
        <w:t xml:space="preserve"> </w:t>
      </w:r>
      <w:r>
        <w:rPr>
          <w:rFonts w:hint="eastAsia" w:ascii="黑体" w:hAnsi="黑体" w:eastAsia="黑体"/>
          <w:b/>
          <w:bCs/>
          <w:sz w:val="28"/>
          <w:szCs w:val="28"/>
        </w:rPr>
        <w:t>for</w:t>
      </w:r>
      <w:r>
        <w:rPr>
          <w:rFonts w:hint="eastAsia" w:ascii="黑体" w:hAnsi="黑体" w:eastAsia="黑体"/>
          <w:b/>
          <w:bCs/>
          <w:color w:val="0000FF"/>
          <w:sz w:val="28"/>
          <w:szCs w:val="28"/>
        </w:rPr>
        <w:t xml:space="preserve"> </w:t>
      </w:r>
      <w:r>
        <w:rPr>
          <w:rFonts w:hint="eastAsia" w:ascii="黑体" w:hAnsi="黑体" w:eastAsia="黑体"/>
          <w:b/>
          <w:bCs/>
          <w:sz w:val="28"/>
          <w:szCs w:val="28"/>
        </w:rPr>
        <w:t>Solid</w:t>
      </w:r>
      <w:r>
        <w:rPr>
          <w:rFonts w:hint="eastAsia" w:ascii="黑体" w:hAnsi="黑体" w:eastAsia="黑体"/>
          <w:b/>
          <w:bCs/>
          <w:color w:val="0000FF"/>
          <w:sz w:val="28"/>
          <w:szCs w:val="28"/>
        </w:rPr>
        <w:t xml:space="preserve"> </w:t>
      </w:r>
      <w:r>
        <w:rPr>
          <w:rFonts w:ascii="黑体" w:hAnsi="黑体" w:eastAsia="黑体"/>
          <w:b/>
          <w:bCs/>
          <w:sz w:val="28"/>
          <w:szCs w:val="28"/>
        </w:rPr>
        <w:t xml:space="preserve">Material </w:t>
      </w:r>
      <w:r>
        <w:rPr>
          <w:rFonts w:hint="eastAsia" w:ascii="黑体" w:hAnsi="黑体" w:eastAsia="黑体"/>
          <w:b/>
          <w:bCs/>
          <w:sz w:val="28"/>
          <w:szCs w:val="28"/>
        </w:rPr>
        <w:t>S</w:t>
      </w:r>
      <w:r>
        <w:rPr>
          <w:rFonts w:ascii="黑体" w:hAnsi="黑体" w:eastAsia="黑体"/>
          <w:b/>
          <w:bCs/>
          <w:sz w:val="28"/>
          <w:szCs w:val="28"/>
        </w:rPr>
        <w:t xml:space="preserve">moke </w:t>
      </w:r>
      <w:r>
        <w:rPr>
          <w:rFonts w:hint="eastAsia" w:ascii="黑体" w:hAnsi="黑体" w:eastAsia="黑体"/>
          <w:b/>
          <w:bCs/>
          <w:sz w:val="28"/>
          <w:szCs w:val="28"/>
        </w:rPr>
        <w:t>D</w:t>
      </w:r>
      <w:r>
        <w:rPr>
          <w:rFonts w:ascii="黑体" w:hAnsi="黑体" w:eastAsia="黑体"/>
          <w:b/>
          <w:bCs/>
          <w:sz w:val="28"/>
          <w:szCs w:val="28"/>
        </w:rPr>
        <w:t xml:space="preserve">ensity </w:t>
      </w:r>
      <w:r>
        <w:rPr>
          <w:rFonts w:hint="eastAsia" w:ascii="黑体" w:hAnsi="黑体" w:eastAsia="黑体"/>
          <w:b/>
          <w:bCs/>
          <w:sz w:val="28"/>
          <w:szCs w:val="28"/>
        </w:rPr>
        <w:t>M</w:t>
      </w:r>
      <w:r>
        <w:rPr>
          <w:rFonts w:ascii="黑体" w:hAnsi="黑体" w:eastAsia="黑体"/>
          <w:b/>
          <w:bCs/>
          <w:sz w:val="28"/>
          <w:szCs w:val="28"/>
        </w:rPr>
        <w:t>eter</w:t>
      </w:r>
    </w:p>
    <w:p w14:paraId="1AE72D06">
      <w:pPr>
        <w:spacing w:line="700" w:lineRule="exact"/>
        <w:rPr>
          <w:rFonts w:hint="eastAsia" w:ascii="黑体" w:hAnsi="黑体" w:eastAsia="黑体"/>
          <w:b/>
          <w:bCs/>
          <w:color w:val="0000FF"/>
          <w:sz w:val="28"/>
          <w:szCs w:val="28"/>
        </w:rPr>
      </w:pPr>
    </w:p>
    <w:p w14:paraId="31B710B4">
      <w:pPr>
        <w:rPr>
          <w:rFonts w:eastAsia="方正大标宋简体"/>
          <w:sz w:val="28"/>
        </w:rPr>
      </w:pPr>
      <w: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117475</wp:posOffset>
                </wp:positionV>
                <wp:extent cx="5805170" cy="0"/>
                <wp:effectExtent l="0" t="0" r="0" b="0"/>
                <wp:wrapNone/>
                <wp:docPr id="110729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19050" cmpd="sng">
                          <a:solidFill>
                            <a:srgbClr val="000000"/>
                          </a:solidFill>
                          <a:round/>
                        </a:ln>
                      </wps:spPr>
                      <wps:bodyPr/>
                    </wps:wsp>
                  </a:graphicData>
                </a:graphic>
              </wp:anchor>
            </w:drawing>
          </mc:Choice>
          <mc:Fallback>
            <w:pict>
              <v:line id="直接连接符 2" o:spid="_x0000_s1026" o:spt="20" style="position:absolute;left:0pt;margin-left:-1.5pt;margin-top:9.25pt;height:0pt;width:457.1pt;z-index:251660288;mso-width-relative:page;mso-height-relative:page;" filled="f" stroked="t" coordsize="21600,21600" o:gfxdata="UEsDBAoAAAAAAIdO4kAAAAAAAAAAAAAAAAAEAAAAZHJzL1BLAwQUAAAACACHTuJAy/k+cNUAAAAI&#10;AQAADwAAAGRycy9kb3ducmV2LnhtbE2PwU7DMBBE70j8g7VI3FonhaI0xKlEJS69ESrguI2XJCJe&#10;R7GbNn/PIg5w3JnR25lie3G9mmgMnWcD6TIBRVx723Fj4PD6vMhAhYhssfdMBmYKsC2vrwrMrT/z&#10;C01VbJRAOORooI1xyLUOdUsOw9IPxOJ9+tFhlHNstB3xLHDX61WSPGiHHcuHFgfatVR/VScnlPV7&#10;9rTH7DDPffWxud+97Sd2xtzepMkjqEiX+BeGn/pSHUrpdPQntkH1BhZ3MiWKnq1Bib9J0xWo46+g&#10;y0L/H1B+A1BLAwQUAAAACACHTuJA9lMYTvEBAAC+AwAADgAAAGRycy9lMm9Eb2MueG1srVPNbhMx&#10;EL4j8Q6W72R3I4W2q2x6SFQuBSq1PIDj9WYtbI/lcbLJS/ACSNzgxJE7b9PyGIydH0q59MAeLI9n&#10;5pv5vpmdXm6tYRsVUINreDUqOVNOQqvdquEf7q5enXOGUbhWGHCq4TuF/HL28sV08LUaQw+mVYER&#10;iMN68A3vY/R1UaDslRU4Aq8cOTsIVkQyw6pogxgI3ZpiXJaviwFC6wNIhUivi72THxDDcwCh67RU&#10;C5Brq1zcowZlRCRK2GuPfJa77Tol4/uuQxWZaTgxjfmkInRfprOYTUW9CsL3Wh5aEM9p4QknK7Sj&#10;oieohYiCrYP+B8pqGQChiyMJttgTyYoQi6p8os1tL7zKXEhq9CfR8f/Bynebm8B0S5tQlWfji7Kq&#10;OHPC0uAfPv+4//T1188vdD58/8bGSazBY005c3cTEl25dbf+GuRHZA7mvXArlZu+23lCqFJG8VdK&#10;MtBTyeXwFlqKEesIWbltF2yCJE3YNg9odxqQ2kYm6XFyXk6qM5qdPPoKUR8TfcD4RoFl6dJwo13S&#10;TtRic40xNSLqY0h6dnCljcnzN44N1O1FOUnQ1pMa6FY5GcHoNgWmFAyr5dwEthFpm/KXGZLncViA&#10;tWv3BY07CJA479VbQru7CUdhaKy5s8MKpr15bOfsP7/d7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L+T5w1QAAAAgBAAAPAAAAAAAAAAEAIAAAACIAAABkcnMvZG93bnJldi54bWxQSwECFAAUAAAA&#10;CACHTuJA9lMYTvEBAAC+AwAADgAAAAAAAAABACAAAAAkAQAAZHJzL2Uyb0RvYy54bWxQSwUGAAAA&#10;AAYABgBZAQAAhwUAAAAA&#10;">
                <v:fill on="f" focussize="0,0"/>
                <v:stroke weight="1.5pt" color="#000000" joinstyle="round"/>
                <v:imagedata o:title=""/>
                <o:lock v:ext="edit" aspectratio="f"/>
              </v:line>
            </w:pict>
          </mc:Fallback>
        </mc:AlternateContent>
      </w:r>
    </w:p>
    <w:p w14:paraId="570894D8">
      <w:pPr>
        <w:ind w:left="-2" w:leftChars="-161" w:hanging="336" w:hangingChars="120"/>
        <w:rPr>
          <w:rFonts w:eastAsia="方正大标宋简体"/>
          <w:spacing w:val="6"/>
          <w:sz w:val="28"/>
        </w:rPr>
      </w:pPr>
      <w:r>
        <w:rPr>
          <w:rFonts w:hint="eastAsia" w:eastAsia="方正大标宋简体"/>
          <w:sz w:val="28"/>
        </w:rPr>
        <w:t xml:space="preserve">      </w:t>
      </w:r>
    </w:p>
    <w:p w14:paraId="7F42F8EF">
      <w:pPr>
        <w:rPr>
          <w:rFonts w:eastAsia="方正大标宋简体"/>
          <w:sz w:val="24"/>
        </w:rPr>
      </w:pPr>
    </w:p>
    <w:p w14:paraId="4754DA31">
      <w:pPr>
        <w:rPr>
          <w:rFonts w:eastAsia="方正大标宋简体"/>
          <w:sz w:val="24"/>
        </w:rPr>
      </w:pPr>
    </w:p>
    <w:p w14:paraId="1D435CE6">
      <w:pPr>
        <w:rPr>
          <w:rFonts w:eastAsia="方正大标宋简体"/>
          <w:sz w:val="24"/>
        </w:rPr>
      </w:pPr>
    </w:p>
    <w:p w14:paraId="3C4FA7E4">
      <w:pPr>
        <w:rPr>
          <w:rFonts w:eastAsia="方正大标宋简体"/>
          <w:sz w:val="24"/>
        </w:rPr>
      </w:pPr>
    </w:p>
    <w:p w14:paraId="56E8A27B">
      <w:pPr>
        <w:rPr>
          <w:rFonts w:eastAsia="方正大标宋简体"/>
          <w:sz w:val="24"/>
        </w:rPr>
      </w:pPr>
    </w:p>
    <w:p w14:paraId="35AE1B8E">
      <w:pPr>
        <w:rPr>
          <w:rFonts w:eastAsia="方正大标宋简体"/>
          <w:sz w:val="24"/>
        </w:rPr>
      </w:pPr>
    </w:p>
    <w:p w14:paraId="7363EC60">
      <w:pPr>
        <w:rPr>
          <w:rFonts w:eastAsia="方正大标宋简体"/>
          <w:sz w:val="24"/>
        </w:rPr>
      </w:pPr>
    </w:p>
    <w:p w14:paraId="5B701E40">
      <w:pPr>
        <w:rPr>
          <w:rFonts w:eastAsia="方正大标宋简体"/>
          <w:sz w:val="24"/>
        </w:rPr>
      </w:pPr>
    </w:p>
    <w:p w14:paraId="7745755B">
      <w:pPr>
        <w:rPr>
          <w:rFonts w:eastAsia="方正大标宋简体"/>
          <w:sz w:val="24"/>
        </w:rPr>
      </w:pPr>
    </w:p>
    <w:p w14:paraId="3EB42AC8">
      <w:pPr>
        <w:rPr>
          <w:rFonts w:eastAsia="方正大标宋简体"/>
          <w:sz w:val="24"/>
        </w:rPr>
      </w:pPr>
    </w:p>
    <w:p w14:paraId="20DA04EA">
      <w:pPr>
        <w:rPr>
          <w:rFonts w:eastAsia="方正大标宋简体"/>
          <w:sz w:val="24"/>
        </w:rPr>
      </w:pPr>
    </w:p>
    <w:p w14:paraId="66FB38B5">
      <w:pPr>
        <w:rPr>
          <w:rFonts w:eastAsia="方正大标宋简体"/>
          <w:sz w:val="24"/>
        </w:rPr>
      </w:pPr>
    </w:p>
    <w:p w14:paraId="4EBB5E55">
      <w:pPr>
        <w:rPr>
          <w:rFonts w:eastAsia="方正大标宋简体"/>
          <w:sz w:val="24"/>
        </w:rPr>
      </w:pPr>
    </w:p>
    <w:p w14:paraId="051EAFE9">
      <w:pPr>
        <w:rPr>
          <w:rFonts w:eastAsia="方正大标宋简体"/>
          <w:sz w:val="24"/>
        </w:rPr>
      </w:pPr>
    </w:p>
    <w:p w14:paraId="054F26A2">
      <w:pPr>
        <w:ind w:firstLine="1260" w:firstLineChars="450"/>
        <w:rPr>
          <w:rFonts w:hint="eastAsia" w:ascii="黑体" w:hAnsi="黑体" w:eastAsia="黑体"/>
          <w:color w:val="000000"/>
          <w:sz w:val="28"/>
        </w:rPr>
      </w:pPr>
      <w:r>
        <w:rPr>
          <w:rFonts w:hint="eastAsia" w:ascii="黑体" w:eastAsia="黑体"/>
          <w:sz w:val="28"/>
        </w:rPr>
        <w:t>归</w:t>
      </w:r>
      <w:r>
        <w:rPr>
          <w:rFonts w:hint="eastAsia" w:ascii="黑体" w:eastAsia="黑体"/>
          <w:sz w:val="18"/>
          <w:szCs w:val="18"/>
        </w:rPr>
        <w:t xml:space="preserve">  </w:t>
      </w:r>
      <w:r>
        <w:rPr>
          <w:rFonts w:hint="eastAsia" w:ascii="黑体" w:eastAsia="黑体"/>
          <w:sz w:val="28"/>
        </w:rPr>
        <w:t>口</w:t>
      </w:r>
      <w:r>
        <w:rPr>
          <w:rFonts w:hint="eastAsia" w:ascii="黑体" w:eastAsia="黑体"/>
          <w:sz w:val="18"/>
          <w:szCs w:val="18"/>
        </w:rPr>
        <w:t xml:space="preserve">  </w:t>
      </w:r>
      <w:r>
        <w:rPr>
          <w:rFonts w:hint="eastAsia" w:ascii="黑体" w:eastAsia="黑体"/>
          <w:sz w:val="28"/>
        </w:rPr>
        <w:t>单</w:t>
      </w:r>
      <w:r>
        <w:rPr>
          <w:rFonts w:hint="eastAsia" w:ascii="黑体" w:eastAsia="黑体"/>
          <w:sz w:val="18"/>
          <w:szCs w:val="18"/>
        </w:rPr>
        <w:t xml:space="preserve">  </w:t>
      </w:r>
      <w:r>
        <w:rPr>
          <w:rFonts w:hint="eastAsia" w:ascii="黑体" w:eastAsia="黑体"/>
          <w:sz w:val="28"/>
        </w:rPr>
        <w:t>位</w:t>
      </w:r>
      <w:r>
        <w:rPr>
          <w:rFonts w:hint="eastAsia" w:ascii="黑体" w:eastAsia="黑体"/>
          <w:bCs/>
          <w:sz w:val="28"/>
        </w:rPr>
        <w:t>：</w:t>
      </w:r>
      <w:r>
        <w:rPr>
          <w:rFonts w:hint="eastAsia" w:ascii="黑体" w:hAnsi="黑体" w:eastAsia="黑体"/>
          <w:color w:val="000000"/>
          <w:sz w:val="28"/>
        </w:rPr>
        <w:t>全国新材料与纳米计量技术委员会</w:t>
      </w:r>
    </w:p>
    <w:p w14:paraId="4889D60A">
      <w:pPr>
        <w:ind w:firstLine="1260" w:firstLineChars="450"/>
        <w:rPr>
          <w:rFonts w:hint="eastAsia" w:ascii="黑体" w:hAnsi="黑体" w:eastAsia="黑体"/>
          <w:color w:val="000000"/>
          <w:sz w:val="28"/>
        </w:rPr>
      </w:pPr>
      <w:r>
        <w:rPr>
          <w:rFonts w:hint="eastAsia" w:ascii="黑体" w:hAnsi="黑体" w:eastAsia="黑体"/>
          <w:color w:val="000000"/>
          <w:sz w:val="28"/>
        </w:rPr>
        <w:t>主要起草单位：</w:t>
      </w:r>
      <w:r>
        <w:rPr>
          <w:rFonts w:hint="eastAsia" w:eastAsia="黑体"/>
          <w:sz w:val="28"/>
          <w:szCs w:val="28"/>
        </w:rPr>
        <w:t>山东非金属材料研究所</w:t>
      </w:r>
    </w:p>
    <w:p w14:paraId="6AE51885">
      <w:pPr>
        <w:ind w:firstLine="1260" w:firstLineChars="450"/>
        <w:rPr>
          <w:rFonts w:hint="eastAsia" w:ascii="黑体" w:hAnsi="黑体" w:eastAsia="黑体"/>
          <w:color w:val="000000"/>
          <w:sz w:val="28"/>
        </w:rPr>
      </w:pPr>
      <w:r>
        <w:rPr>
          <w:rFonts w:hint="eastAsia" w:ascii="黑体" w:hAnsi="黑体" w:eastAsia="黑体"/>
          <w:color w:val="000000"/>
          <w:sz w:val="28"/>
        </w:rPr>
        <w:t xml:space="preserve">              </w:t>
      </w:r>
    </w:p>
    <w:p w14:paraId="71EA8CD1">
      <w:pPr>
        <w:ind w:firstLine="1260" w:firstLineChars="450"/>
        <w:rPr>
          <w:rFonts w:hint="eastAsia" w:ascii="黑体" w:hAnsi="黑体" w:eastAsia="黑体"/>
          <w:color w:val="000000"/>
          <w:sz w:val="28"/>
        </w:rPr>
      </w:pPr>
      <w:r>
        <w:rPr>
          <w:rFonts w:hint="eastAsia" w:ascii="黑体" w:hAnsi="黑体" w:eastAsia="黑体"/>
          <w:color w:val="000000"/>
          <w:sz w:val="28"/>
        </w:rPr>
        <w:t xml:space="preserve">参加起草单位：              </w:t>
      </w:r>
    </w:p>
    <w:p w14:paraId="4E291A59">
      <w:pPr>
        <w:ind w:firstLine="1260" w:firstLineChars="450"/>
        <w:rPr>
          <w:rFonts w:hint="eastAsia" w:ascii="黑体" w:hAnsi="黑体" w:eastAsia="黑体"/>
          <w:color w:val="FFC000"/>
          <w:sz w:val="28"/>
        </w:rPr>
      </w:pPr>
      <w:r>
        <w:rPr>
          <w:rFonts w:hint="eastAsia" w:ascii="黑体" w:hAnsi="黑体" w:eastAsia="黑体"/>
          <w:color w:val="000000"/>
          <w:sz w:val="28"/>
        </w:rPr>
        <w:t xml:space="preserve">              </w:t>
      </w:r>
    </w:p>
    <w:p w14:paraId="19E49BE1">
      <w:pPr>
        <w:ind w:firstLine="1260" w:firstLineChars="450"/>
        <w:rPr>
          <w:rFonts w:eastAsia="方正大标宋简体"/>
          <w:sz w:val="24"/>
        </w:rPr>
      </w:pPr>
      <w:r>
        <w:rPr>
          <w:rFonts w:hint="eastAsia" w:ascii="宋体" w:hAnsi="宋体"/>
          <w:sz w:val="28"/>
        </w:rPr>
        <w:t xml:space="preserve">                       </w:t>
      </w:r>
    </w:p>
    <w:p w14:paraId="723CCE84">
      <w:pPr>
        <w:rPr>
          <w:rFonts w:eastAsia="方正大标宋简体"/>
          <w:sz w:val="24"/>
        </w:rPr>
      </w:pPr>
    </w:p>
    <w:p w14:paraId="21CB9E9B">
      <w:pPr>
        <w:rPr>
          <w:rFonts w:eastAsia="方正大标宋简体"/>
          <w:sz w:val="24"/>
        </w:rPr>
      </w:pPr>
    </w:p>
    <w:p w14:paraId="1B907581">
      <w:pPr>
        <w:rPr>
          <w:rFonts w:eastAsia="方正大标宋简体"/>
          <w:sz w:val="24"/>
        </w:rPr>
      </w:pPr>
    </w:p>
    <w:p w14:paraId="0FF89D7F">
      <w:pPr>
        <w:spacing w:line="500" w:lineRule="exact"/>
        <w:jc w:val="left"/>
        <w:rPr>
          <w:rFonts w:hint="eastAsia" w:ascii="宋体" w:hAnsi="宋体"/>
          <w:sz w:val="28"/>
        </w:rPr>
      </w:pPr>
      <w:r>
        <w:rPr>
          <w:rFonts w:hint="eastAsia" w:ascii="宋体" w:hAnsi="宋体"/>
          <w:sz w:val="28"/>
        </w:rPr>
        <w:t>本规范委托全国新材料与纳米计量技术委员会负责解释</w:t>
      </w:r>
    </w:p>
    <w:p w14:paraId="4FBEDD7D">
      <w:pPr>
        <w:ind w:firstLine="570"/>
        <w:jc w:val="left"/>
        <w:outlineLvl w:val="0"/>
        <w:rPr>
          <w:rFonts w:eastAsia="黑体" w:cs="黑体"/>
          <w:sz w:val="28"/>
          <w:szCs w:val="28"/>
        </w:rPr>
      </w:pPr>
      <w:bookmarkStart w:id="8" w:name="_Toc89184070"/>
      <w:bookmarkStart w:id="9" w:name="_Toc101442444"/>
      <w:bookmarkStart w:id="10" w:name="_Toc101281454"/>
    </w:p>
    <w:p w14:paraId="6843E1C5">
      <w:pPr>
        <w:ind w:firstLine="570"/>
        <w:jc w:val="left"/>
        <w:outlineLvl w:val="0"/>
        <w:rPr>
          <w:b/>
          <w:bCs/>
          <w:sz w:val="28"/>
          <w:szCs w:val="28"/>
        </w:rPr>
      </w:pPr>
      <w:bookmarkStart w:id="11" w:name="_Toc150424186"/>
      <w:r>
        <w:rPr>
          <w:rFonts w:hint="eastAsia" w:eastAsia="黑体" w:cs="黑体"/>
          <w:sz w:val="28"/>
          <w:szCs w:val="28"/>
        </w:rPr>
        <w:t>本规范主要起草人</w:t>
      </w:r>
      <w:r>
        <w:rPr>
          <w:rFonts w:hint="eastAsia" w:cs="宋体"/>
          <w:b/>
          <w:bCs/>
          <w:sz w:val="28"/>
          <w:szCs w:val="28"/>
        </w:rPr>
        <w:t>：</w:t>
      </w:r>
      <w:bookmarkEnd w:id="6"/>
      <w:bookmarkEnd w:id="7"/>
      <w:bookmarkEnd w:id="8"/>
      <w:bookmarkEnd w:id="9"/>
      <w:bookmarkEnd w:id="10"/>
      <w:bookmarkEnd w:id="11"/>
    </w:p>
    <w:p w14:paraId="0F3928D9">
      <w:pPr>
        <w:ind w:firstLine="570"/>
        <w:jc w:val="left"/>
        <w:outlineLvl w:val="0"/>
        <w:rPr>
          <w:rFonts w:eastAsia="黑体"/>
          <w:sz w:val="28"/>
          <w:szCs w:val="28"/>
        </w:rPr>
      </w:pPr>
      <w:r>
        <w:rPr>
          <w:sz w:val="28"/>
          <w:szCs w:val="28"/>
        </w:rPr>
        <w:t xml:space="preserve">          </w:t>
      </w:r>
      <w:r>
        <w:rPr>
          <w:rFonts w:hint="eastAsia" w:eastAsia="黑体"/>
          <w:sz w:val="28"/>
          <w:szCs w:val="28"/>
        </w:rPr>
        <w:t xml:space="preserve"> </w:t>
      </w:r>
    </w:p>
    <w:p w14:paraId="1EE0BDFD">
      <w:pPr>
        <w:ind w:firstLine="570"/>
        <w:jc w:val="left"/>
        <w:outlineLvl w:val="0"/>
        <w:rPr>
          <w:sz w:val="28"/>
          <w:szCs w:val="28"/>
        </w:rPr>
      </w:pPr>
      <w:r>
        <w:rPr>
          <w:rFonts w:hint="eastAsia" w:eastAsia="黑体"/>
          <w:sz w:val="28"/>
          <w:szCs w:val="28"/>
        </w:rPr>
        <w:t xml:space="preserve">          </w:t>
      </w:r>
      <w:r>
        <w:rPr>
          <w:rFonts w:eastAsia="黑体"/>
          <w:sz w:val="28"/>
          <w:szCs w:val="28"/>
        </w:rPr>
        <w:t xml:space="preserve"> </w:t>
      </w:r>
    </w:p>
    <w:p w14:paraId="2EE54C62">
      <w:pPr>
        <w:ind w:firstLine="570"/>
        <w:jc w:val="left"/>
        <w:outlineLvl w:val="0"/>
        <w:rPr>
          <w:rFonts w:eastAsia="黑体"/>
          <w:sz w:val="28"/>
          <w:szCs w:val="28"/>
        </w:rPr>
      </w:pPr>
      <w:r>
        <w:rPr>
          <w:sz w:val="28"/>
          <w:szCs w:val="28"/>
        </w:rPr>
        <w:t xml:space="preserve">     </w:t>
      </w:r>
      <w:bookmarkStart w:id="12" w:name="_Toc89184071"/>
      <w:bookmarkStart w:id="13" w:name="_Toc101281458"/>
      <w:bookmarkStart w:id="14" w:name="_Toc101442448"/>
      <w:bookmarkStart w:id="15" w:name="_Toc511311518"/>
      <w:bookmarkStart w:id="16" w:name="_Toc511320451"/>
      <w:bookmarkStart w:id="17" w:name="_Toc150424189"/>
      <w:r>
        <w:rPr>
          <w:rFonts w:hint="eastAsia" w:eastAsia="黑体" w:cs="黑体"/>
          <w:sz w:val="28"/>
          <w:szCs w:val="28"/>
        </w:rPr>
        <w:t>参加起草人：</w:t>
      </w:r>
      <w:bookmarkEnd w:id="12"/>
      <w:bookmarkEnd w:id="13"/>
      <w:bookmarkEnd w:id="14"/>
      <w:bookmarkEnd w:id="15"/>
      <w:bookmarkEnd w:id="16"/>
      <w:bookmarkEnd w:id="17"/>
    </w:p>
    <w:p w14:paraId="3982F295">
      <w:pPr>
        <w:ind w:firstLine="570"/>
        <w:jc w:val="left"/>
        <w:outlineLvl w:val="0"/>
        <w:rPr>
          <w:rFonts w:eastAsia="黑体"/>
          <w:color w:val="FFC000"/>
          <w:sz w:val="28"/>
          <w:szCs w:val="28"/>
        </w:rPr>
      </w:pPr>
      <w:r>
        <w:rPr>
          <w:sz w:val="28"/>
          <w:szCs w:val="28"/>
        </w:rPr>
        <w:t xml:space="preserve">          </w:t>
      </w:r>
      <w:r>
        <w:rPr>
          <w:rFonts w:hint="eastAsia" w:eastAsia="黑体"/>
          <w:sz w:val="28"/>
          <w:szCs w:val="28"/>
        </w:rPr>
        <w:t xml:space="preserve"> </w:t>
      </w:r>
      <w:bookmarkStart w:id="52" w:name="_GoBack"/>
      <w:bookmarkEnd w:id="52"/>
    </w:p>
    <w:p w14:paraId="0F1703C2">
      <w:pPr>
        <w:ind w:firstLine="570"/>
        <w:jc w:val="center"/>
        <w:rPr>
          <w:sz w:val="28"/>
          <w:szCs w:val="28"/>
        </w:rPr>
      </w:pPr>
    </w:p>
    <w:p w14:paraId="00F7E80C">
      <w:pPr>
        <w:ind w:firstLine="570"/>
        <w:jc w:val="center"/>
        <w:rPr>
          <w:sz w:val="28"/>
          <w:szCs w:val="28"/>
        </w:rPr>
      </w:pPr>
    </w:p>
    <w:p w14:paraId="418DBB2C">
      <w:pPr>
        <w:ind w:firstLine="570"/>
        <w:jc w:val="center"/>
        <w:rPr>
          <w:sz w:val="28"/>
          <w:szCs w:val="28"/>
        </w:rPr>
      </w:pPr>
    </w:p>
    <w:p w14:paraId="75526445">
      <w:pPr>
        <w:ind w:firstLine="570"/>
        <w:jc w:val="center"/>
        <w:rPr>
          <w:sz w:val="28"/>
          <w:szCs w:val="28"/>
        </w:rPr>
      </w:pPr>
    </w:p>
    <w:p w14:paraId="74DD95D6">
      <w:pPr>
        <w:ind w:firstLine="570"/>
        <w:jc w:val="center"/>
        <w:rPr>
          <w:sz w:val="28"/>
          <w:szCs w:val="28"/>
        </w:rPr>
      </w:pPr>
    </w:p>
    <w:p w14:paraId="73CA2CCC">
      <w:pPr>
        <w:ind w:firstLine="570"/>
        <w:jc w:val="center"/>
        <w:rPr>
          <w:sz w:val="28"/>
          <w:szCs w:val="28"/>
        </w:rPr>
      </w:pPr>
    </w:p>
    <w:p w14:paraId="2E258A44">
      <w:pPr>
        <w:ind w:firstLine="570"/>
        <w:jc w:val="center"/>
        <w:rPr>
          <w:sz w:val="28"/>
          <w:szCs w:val="28"/>
        </w:rPr>
      </w:pPr>
    </w:p>
    <w:p w14:paraId="71362BCA">
      <w:pPr>
        <w:ind w:firstLine="570"/>
        <w:jc w:val="center"/>
        <w:rPr>
          <w:sz w:val="28"/>
          <w:szCs w:val="28"/>
        </w:rPr>
      </w:pPr>
    </w:p>
    <w:p w14:paraId="463AE376">
      <w:pPr>
        <w:ind w:firstLine="570"/>
        <w:jc w:val="center"/>
        <w:rPr>
          <w:sz w:val="28"/>
          <w:szCs w:val="28"/>
        </w:rPr>
      </w:pPr>
    </w:p>
    <w:p w14:paraId="5C35021A">
      <w:pPr>
        <w:ind w:firstLine="570"/>
        <w:jc w:val="center"/>
        <w:rPr>
          <w:sz w:val="28"/>
          <w:szCs w:val="28"/>
        </w:rPr>
      </w:pPr>
    </w:p>
    <w:p w14:paraId="789E9049">
      <w:pPr>
        <w:ind w:firstLine="570"/>
        <w:jc w:val="center"/>
        <w:rPr>
          <w:sz w:val="28"/>
          <w:szCs w:val="28"/>
        </w:rPr>
        <w:sectPr>
          <w:headerReference r:id="rId7" w:type="default"/>
          <w:footerReference r:id="rId8" w:type="default"/>
          <w:pgSz w:w="11906" w:h="16838"/>
          <w:pgMar w:top="1264" w:right="1418" w:bottom="1418" w:left="1418" w:header="851" w:footer="992" w:gutter="0"/>
          <w:pgNumType w:start="1"/>
          <w:cols w:space="720" w:num="1"/>
          <w:docGrid w:type="lines" w:linePitch="312" w:charSpace="0"/>
        </w:sectPr>
      </w:pPr>
    </w:p>
    <w:p w14:paraId="76122F7C">
      <w:pPr>
        <w:pStyle w:val="2"/>
        <w:ind w:firstLine="0" w:firstLineChars="0"/>
        <w:jc w:val="center"/>
        <w:rPr>
          <w:rFonts w:ascii="Arial" w:hAnsi="Arial" w:eastAsia="黑体" w:cs="Arial"/>
          <w:bCs/>
          <w:kern w:val="2"/>
          <w:sz w:val="44"/>
          <w:szCs w:val="44"/>
        </w:rPr>
      </w:pPr>
      <w:bookmarkStart w:id="18" w:name="_Toc101281463"/>
      <w:bookmarkStart w:id="19" w:name="_Toc101442453"/>
      <w:bookmarkStart w:id="20" w:name="_Toc150424190"/>
      <w:r>
        <w:rPr>
          <w:rFonts w:hint="eastAsia" w:ascii="Arial" w:hAnsi="Arial" w:eastAsia="黑体" w:cs="Arial"/>
          <w:bCs/>
          <w:kern w:val="2"/>
          <w:sz w:val="44"/>
          <w:szCs w:val="44"/>
        </w:rPr>
        <w:t>目  录</w:t>
      </w:r>
      <w:bookmarkEnd w:id="18"/>
      <w:bookmarkEnd w:id="19"/>
      <w:bookmarkEnd w:id="20"/>
    </w:p>
    <w:p w14:paraId="41310AA2">
      <w:pPr>
        <w:pStyle w:val="13"/>
        <w:tabs>
          <w:tab w:val="right" w:leader="dot" w:pos="9060"/>
        </w:tabs>
        <w:rPr>
          <w:rFonts w:hint="eastAsia" w:asciiTheme="minorHAnsi" w:hAnsiTheme="minorHAnsi" w:eastAsiaTheme="minorEastAsia" w:cstheme="minorBidi"/>
          <w:szCs w:val="22"/>
          <w14:ligatures w14:val="standardContextual"/>
        </w:rPr>
      </w:pPr>
      <w:r>
        <w:rPr>
          <w:sz w:val="24"/>
        </w:rPr>
        <w:fldChar w:fldCharType="begin"/>
      </w:r>
      <w:r>
        <w:rPr>
          <w:sz w:val="24"/>
        </w:rPr>
        <w:instrText xml:space="preserve"> </w:instrText>
      </w:r>
      <w:r>
        <w:rPr>
          <w:rFonts w:hint="eastAsia"/>
          <w:sz w:val="24"/>
        </w:rPr>
        <w:instrText xml:space="preserve">TOC \o "1-2" \h \z \u</w:instrText>
      </w:r>
      <w:r>
        <w:rPr>
          <w:sz w:val="24"/>
        </w:rPr>
        <w:instrText xml:space="preserve"> </w:instrText>
      </w:r>
      <w:r>
        <w:rPr>
          <w:sz w:val="24"/>
        </w:rPr>
        <w:fldChar w:fldCharType="separate"/>
      </w:r>
    </w:p>
    <w:p w14:paraId="1171B714">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"_Toc150424191" </w:instrText>
      </w:r>
      <w:r>
        <w:fldChar w:fldCharType="separate"/>
      </w:r>
      <w:r>
        <w:rPr>
          <w:rStyle w:val="19"/>
          <w:rFonts w:ascii="黑体" w:hAnsi="黑体" w:eastAsia="黑体"/>
        </w:rPr>
        <w:t>引 言</w:t>
      </w:r>
      <w:r>
        <w:tab/>
      </w:r>
      <w:r>
        <w:fldChar w:fldCharType="begin"/>
      </w:r>
      <w:r>
        <w:instrText xml:space="preserve"> PAGEREF _Toc150424191 \h </w:instrText>
      </w:r>
      <w:r>
        <w:fldChar w:fldCharType="separate"/>
      </w:r>
      <w:r>
        <w:t>II</w:t>
      </w:r>
      <w:r>
        <w:fldChar w:fldCharType="end"/>
      </w:r>
      <w:r>
        <w:fldChar w:fldCharType="end"/>
      </w:r>
    </w:p>
    <w:p w14:paraId="52894604">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"_Toc150424192" </w:instrText>
      </w:r>
      <w:r>
        <w:fldChar w:fldCharType="separate"/>
      </w:r>
      <w:r>
        <w:rPr>
          <w:rStyle w:val="19"/>
          <w:rFonts w:eastAsia="黑体"/>
        </w:rPr>
        <w:t xml:space="preserve">1 </w:t>
      </w:r>
      <w:r>
        <w:rPr>
          <w:rStyle w:val="19"/>
          <w:rFonts w:hAnsi="黑体" w:eastAsia="黑体"/>
        </w:rPr>
        <w:t>范围</w:t>
      </w:r>
      <w:r>
        <w:tab/>
      </w:r>
      <w:r>
        <w:fldChar w:fldCharType="begin"/>
      </w:r>
      <w:r>
        <w:instrText xml:space="preserve"> PAGEREF _Toc150424192 \h </w:instrText>
      </w:r>
      <w:r>
        <w:fldChar w:fldCharType="separate"/>
      </w:r>
      <w:r>
        <w:t>1</w:t>
      </w:r>
      <w:r>
        <w:fldChar w:fldCharType="end"/>
      </w:r>
      <w:r>
        <w:fldChar w:fldCharType="end"/>
      </w:r>
    </w:p>
    <w:p w14:paraId="522EC1A1">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"_Toc150424194" </w:instrText>
      </w:r>
      <w:r>
        <w:fldChar w:fldCharType="separate"/>
      </w:r>
      <w:r>
        <w:rPr>
          <w:rStyle w:val="19"/>
          <w:rFonts w:eastAsia="黑体"/>
        </w:rPr>
        <w:t>2  术语</w:t>
      </w:r>
      <w:r>
        <w:tab/>
      </w:r>
      <w:r>
        <w:fldChar w:fldCharType="begin"/>
      </w:r>
      <w:r>
        <w:instrText xml:space="preserve"> PAGEREF _Toc150424194 \h </w:instrText>
      </w:r>
      <w:r>
        <w:fldChar w:fldCharType="separate"/>
      </w:r>
      <w:r>
        <w:t>1</w:t>
      </w:r>
      <w:r>
        <w:fldChar w:fldCharType="end"/>
      </w:r>
      <w:r>
        <w:fldChar w:fldCharType="end"/>
      </w:r>
    </w:p>
    <w:p w14:paraId="66C71215">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"_Toc150424195" </w:instrText>
      </w:r>
      <w:r>
        <w:fldChar w:fldCharType="separate"/>
      </w:r>
      <w:r>
        <w:rPr>
          <w:rStyle w:val="19"/>
          <w:rFonts w:eastAsia="黑体"/>
        </w:rPr>
        <w:t>3  概述</w:t>
      </w:r>
      <w:r>
        <w:tab/>
      </w:r>
      <w:r>
        <w:fldChar w:fldCharType="begin"/>
      </w:r>
      <w:r>
        <w:instrText xml:space="preserve"> PAGEREF _Toc150424195 \h </w:instrText>
      </w:r>
      <w:r>
        <w:fldChar w:fldCharType="separate"/>
      </w:r>
      <w:r>
        <w:t>1</w:t>
      </w:r>
      <w:r>
        <w:fldChar w:fldCharType="end"/>
      </w:r>
      <w:r>
        <w:fldChar w:fldCharType="end"/>
      </w:r>
    </w:p>
    <w:p w14:paraId="7E0D8C3D">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"_Toc150424196" </w:instrText>
      </w:r>
      <w:r>
        <w:fldChar w:fldCharType="separate"/>
      </w:r>
      <w:r>
        <w:rPr>
          <w:rStyle w:val="19"/>
          <w:rFonts w:eastAsia="黑体"/>
        </w:rPr>
        <w:t>4  计量特性</w:t>
      </w:r>
      <w:r>
        <w:tab/>
      </w:r>
      <w:r>
        <w:fldChar w:fldCharType="begin"/>
      </w:r>
      <w:r>
        <w:instrText xml:space="preserve"> PAGEREF _Toc150424196 \h </w:instrText>
      </w:r>
      <w:r>
        <w:fldChar w:fldCharType="separate"/>
      </w:r>
      <w:r>
        <w:t>2</w:t>
      </w:r>
      <w:r>
        <w:fldChar w:fldCharType="end"/>
      </w:r>
      <w:r>
        <w:fldChar w:fldCharType="end"/>
      </w:r>
    </w:p>
    <w:p w14:paraId="68C9ED7A">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"_Toc150424197" </w:instrText>
      </w:r>
      <w:r>
        <w:fldChar w:fldCharType="separate"/>
      </w:r>
      <w:r>
        <w:rPr>
          <w:rStyle w:val="19"/>
          <w:rFonts w:eastAsia="黑体"/>
        </w:rPr>
        <w:t>5  校准条件</w:t>
      </w:r>
      <w:r>
        <w:tab/>
      </w:r>
      <w:r>
        <w:fldChar w:fldCharType="begin"/>
      </w:r>
      <w:r>
        <w:instrText xml:space="preserve"> PAGEREF _Toc150424197 \h </w:instrText>
      </w:r>
      <w:r>
        <w:fldChar w:fldCharType="separate"/>
      </w:r>
      <w:r>
        <w:t>3</w:t>
      </w:r>
      <w:r>
        <w:fldChar w:fldCharType="end"/>
      </w:r>
      <w:r>
        <w:fldChar w:fldCharType="end"/>
      </w:r>
    </w:p>
    <w:p w14:paraId="25A86220">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"_Toc150424198" </w:instrText>
      </w:r>
      <w:r>
        <w:fldChar w:fldCharType="separate"/>
      </w:r>
      <w:r>
        <w:rPr>
          <w:rStyle w:val="19"/>
          <w:rFonts w:eastAsia="黑体"/>
        </w:rPr>
        <w:t>6  校准项目和校准方法</w:t>
      </w:r>
      <w:r>
        <w:tab/>
      </w:r>
      <w:r>
        <w:fldChar w:fldCharType="begin"/>
      </w:r>
      <w:r>
        <w:instrText xml:space="preserve"> PAGEREF _Toc150424198 \h </w:instrText>
      </w:r>
      <w:r>
        <w:fldChar w:fldCharType="separate"/>
      </w:r>
      <w:r>
        <w:t>3</w:t>
      </w:r>
      <w:r>
        <w:fldChar w:fldCharType="end"/>
      </w:r>
      <w:r>
        <w:fldChar w:fldCharType="end"/>
      </w:r>
    </w:p>
    <w:p w14:paraId="47C92251">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"_Toc150424199" </w:instrText>
      </w:r>
      <w:r>
        <w:fldChar w:fldCharType="separate"/>
      </w:r>
      <w:r>
        <w:rPr>
          <w:rStyle w:val="19"/>
          <w:rFonts w:eastAsia="黑体"/>
        </w:rPr>
        <w:t>7  校准结果的表达</w:t>
      </w:r>
      <w:r>
        <w:tab/>
      </w:r>
      <w:r>
        <w:fldChar w:fldCharType="begin"/>
      </w:r>
      <w:r>
        <w:instrText xml:space="preserve"> PAGEREF _Toc150424199 \h </w:instrText>
      </w:r>
      <w:r>
        <w:fldChar w:fldCharType="separate"/>
      </w:r>
      <w:r>
        <w:t>5</w:t>
      </w:r>
      <w:r>
        <w:fldChar w:fldCharType="end"/>
      </w:r>
      <w:r>
        <w:fldChar w:fldCharType="end"/>
      </w:r>
    </w:p>
    <w:p w14:paraId="0A365C37">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"_Toc150424200" </w:instrText>
      </w:r>
      <w:r>
        <w:fldChar w:fldCharType="separate"/>
      </w:r>
      <w:r>
        <w:rPr>
          <w:rStyle w:val="19"/>
          <w:rFonts w:eastAsia="黑体"/>
        </w:rPr>
        <w:t>8  复校时间间隔</w:t>
      </w:r>
      <w:r>
        <w:tab/>
      </w:r>
      <w:r>
        <w:fldChar w:fldCharType="begin"/>
      </w:r>
      <w:r>
        <w:instrText xml:space="preserve"> PAGEREF _Toc150424200 \h </w:instrText>
      </w:r>
      <w:r>
        <w:fldChar w:fldCharType="separate"/>
      </w:r>
      <w:r>
        <w:t>5</w:t>
      </w:r>
      <w:r>
        <w:fldChar w:fldCharType="end"/>
      </w:r>
      <w:r>
        <w:fldChar w:fldCharType="end"/>
      </w:r>
    </w:p>
    <w:p w14:paraId="627C54D6">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"_Toc150424201" </w:instrText>
      </w:r>
      <w:r>
        <w:fldChar w:fldCharType="separate"/>
      </w:r>
      <w:r>
        <w:rPr>
          <w:rStyle w:val="19"/>
          <w:rFonts w:eastAsia="黑体"/>
          <w:bCs/>
        </w:rPr>
        <w:t>附录A</w:t>
      </w:r>
      <w:r>
        <w:tab/>
      </w:r>
      <w:r>
        <w:fldChar w:fldCharType="begin"/>
      </w:r>
      <w:r>
        <w:instrText xml:space="preserve"> PAGEREF _Toc150424201 \h </w:instrText>
      </w:r>
      <w:r>
        <w:fldChar w:fldCharType="separate"/>
      </w:r>
      <w:r>
        <w:t>6</w:t>
      </w:r>
      <w:r>
        <w:fldChar w:fldCharType="end"/>
      </w:r>
      <w:r>
        <w:fldChar w:fldCharType="end"/>
      </w:r>
    </w:p>
    <w:p w14:paraId="56CF920C">
      <w:pPr>
        <w:pStyle w:val="12"/>
        <w:tabs>
          <w:tab w:val="right" w:leader="dot" w:pos="9060"/>
        </w:tabs>
        <w:rPr>
          <w:rFonts w:hint="eastAsia" w:asciiTheme="minorHAnsi" w:hAnsiTheme="minorHAnsi" w:eastAsiaTheme="minorEastAsia" w:cstheme="minorBidi"/>
          <w:szCs w:val="22"/>
          <w14:ligatures w14:val="standardContextual"/>
        </w:rPr>
      </w:pPr>
      <w:r>
        <w:fldChar w:fldCharType="begin"/>
      </w:r>
      <w:r>
        <w:instrText xml:space="preserve"> HYPERLINK \l "_Toc150424202" </w:instrText>
      </w:r>
      <w:r>
        <w:fldChar w:fldCharType="separate"/>
      </w:r>
      <w:r>
        <w:rPr>
          <w:rStyle w:val="19"/>
          <w:rFonts w:ascii="黑体" w:hAnsi="黑体" w:eastAsia="黑体"/>
        </w:rPr>
        <w:t>附录B</w:t>
      </w:r>
      <w:r>
        <w:tab/>
      </w:r>
      <w:r>
        <w:fldChar w:fldCharType="begin"/>
      </w:r>
      <w:r>
        <w:instrText xml:space="preserve"> PAGEREF _Toc150424202 \h </w:instrText>
      </w:r>
      <w:r>
        <w:fldChar w:fldCharType="separate"/>
      </w:r>
      <w:r>
        <w:t>11</w:t>
      </w:r>
      <w:r>
        <w:fldChar w:fldCharType="end"/>
      </w:r>
      <w:r>
        <w:fldChar w:fldCharType="end"/>
      </w:r>
    </w:p>
    <w:p w14:paraId="0CB8E1B1">
      <w:pPr>
        <w:ind w:firstLine="570"/>
        <w:jc w:val="center"/>
        <w:rPr>
          <w:sz w:val="24"/>
        </w:rPr>
      </w:pPr>
      <w:r>
        <w:rPr>
          <w:sz w:val="24"/>
        </w:rPr>
        <w:fldChar w:fldCharType="end"/>
      </w:r>
    </w:p>
    <w:p w14:paraId="2BB6EDF0">
      <w:pPr>
        <w:ind w:firstLine="570"/>
        <w:jc w:val="center"/>
        <w:rPr>
          <w:sz w:val="24"/>
        </w:rPr>
      </w:pPr>
    </w:p>
    <w:p w14:paraId="23D2D13A">
      <w:pPr>
        <w:ind w:firstLine="570"/>
        <w:jc w:val="center"/>
        <w:rPr>
          <w:sz w:val="24"/>
        </w:rPr>
      </w:pPr>
    </w:p>
    <w:p w14:paraId="69B16B05">
      <w:pPr>
        <w:ind w:firstLine="570"/>
        <w:jc w:val="center"/>
        <w:rPr>
          <w:sz w:val="24"/>
        </w:rPr>
      </w:pPr>
    </w:p>
    <w:p w14:paraId="56638D8F">
      <w:pPr>
        <w:ind w:firstLine="570"/>
        <w:jc w:val="center"/>
        <w:rPr>
          <w:sz w:val="28"/>
          <w:szCs w:val="28"/>
        </w:rPr>
      </w:pPr>
    </w:p>
    <w:p w14:paraId="443A929F">
      <w:pPr>
        <w:ind w:firstLine="570"/>
        <w:jc w:val="center"/>
        <w:rPr>
          <w:sz w:val="28"/>
          <w:szCs w:val="28"/>
        </w:rPr>
      </w:pPr>
    </w:p>
    <w:p w14:paraId="1617B847">
      <w:pPr>
        <w:ind w:firstLine="570"/>
        <w:jc w:val="center"/>
        <w:rPr>
          <w:sz w:val="28"/>
          <w:szCs w:val="28"/>
        </w:rPr>
      </w:pPr>
    </w:p>
    <w:p w14:paraId="27053F74">
      <w:pPr>
        <w:ind w:firstLine="570"/>
        <w:jc w:val="center"/>
        <w:rPr>
          <w:sz w:val="28"/>
          <w:szCs w:val="28"/>
        </w:rPr>
      </w:pPr>
    </w:p>
    <w:p w14:paraId="0F601FCF">
      <w:pPr>
        <w:ind w:firstLine="570"/>
        <w:jc w:val="center"/>
        <w:rPr>
          <w:sz w:val="28"/>
          <w:szCs w:val="28"/>
        </w:rPr>
      </w:pPr>
    </w:p>
    <w:p w14:paraId="75B0F36E">
      <w:pPr>
        <w:ind w:firstLine="570"/>
        <w:jc w:val="center"/>
        <w:rPr>
          <w:sz w:val="28"/>
          <w:szCs w:val="28"/>
        </w:rPr>
      </w:pPr>
      <w:r>
        <w:rPr>
          <w:sz w:val="28"/>
          <w:szCs w:val="28"/>
        </w:rPr>
        <w:br w:type="page"/>
      </w:r>
    </w:p>
    <w:p w14:paraId="2077BBBF">
      <w:pPr>
        <w:autoSpaceDE w:val="0"/>
        <w:autoSpaceDN w:val="0"/>
        <w:jc w:val="center"/>
        <w:outlineLvl w:val="0"/>
        <w:rPr>
          <w:rFonts w:hint="eastAsia" w:ascii="宋体" w:hAnsi="宋体"/>
          <w:sz w:val="43"/>
        </w:rPr>
      </w:pPr>
      <w:bookmarkStart w:id="21" w:name="_Toc150424191"/>
      <w:bookmarkStart w:id="22" w:name="_Toc54707737"/>
      <w:r>
        <w:rPr>
          <w:rFonts w:hint="eastAsia" w:ascii="黑体" w:hAnsi="黑体" w:eastAsia="黑体"/>
          <w:color w:val="000000"/>
          <w:sz w:val="44"/>
          <w:szCs w:val="44"/>
        </w:rPr>
        <w:t>引 言</w:t>
      </w:r>
      <w:bookmarkEnd w:id="21"/>
      <w:bookmarkEnd w:id="22"/>
    </w:p>
    <w:p w14:paraId="72713A02">
      <w:pPr>
        <w:autoSpaceDE w:val="0"/>
        <w:autoSpaceDN w:val="0"/>
        <w:spacing w:line="360" w:lineRule="auto"/>
        <w:ind w:firstLine="480" w:firstLineChars="200"/>
        <w:rPr>
          <w:color w:val="000000"/>
          <w:sz w:val="24"/>
          <w:szCs w:val="24"/>
        </w:rPr>
      </w:pPr>
      <w:r>
        <w:rPr>
          <w:color w:val="000000"/>
          <w:sz w:val="24"/>
          <w:szCs w:val="24"/>
        </w:rPr>
        <w:t>JJF 1071《国家计量校准规范编写规则》、JJF 1001《通用计量术语及定义》和JJF 1059.1《测量不确定度评定与表示》共同构成支撑本规范制定工作的基础性系列规范。</w:t>
      </w:r>
    </w:p>
    <w:p w14:paraId="69E2E80E">
      <w:pPr>
        <w:autoSpaceDE w:val="0"/>
        <w:autoSpaceDN w:val="0"/>
        <w:spacing w:line="360" w:lineRule="auto"/>
        <w:ind w:firstLine="480" w:firstLineChars="200"/>
        <w:rPr>
          <w:color w:val="000000"/>
          <w:sz w:val="24"/>
          <w:szCs w:val="24"/>
        </w:rPr>
      </w:pPr>
      <w:r>
        <w:rPr>
          <w:color w:val="000000"/>
          <w:sz w:val="24"/>
          <w:szCs w:val="24"/>
        </w:rPr>
        <w:t>本规范的编写主要参考了GB/T 8323.2</w:t>
      </w:r>
      <w:r>
        <w:rPr>
          <w:rFonts w:hint="eastAsia"/>
          <w:color w:val="000000"/>
          <w:sz w:val="24"/>
          <w:szCs w:val="24"/>
        </w:rPr>
        <w:t>-</w:t>
      </w:r>
      <w:r>
        <w:rPr>
          <w:color w:val="000000"/>
          <w:sz w:val="24"/>
          <w:szCs w:val="24"/>
        </w:rPr>
        <w:t>2008《</w:t>
      </w:r>
      <w:r>
        <w:rPr>
          <w:rFonts w:hint="eastAsia"/>
          <w:color w:val="000000"/>
          <w:sz w:val="24"/>
          <w:szCs w:val="24"/>
        </w:rPr>
        <w:t>塑料 烟生成 第2部分：单室法测定烟密度试验方法</w:t>
      </w:r>
      <w:r>
        <w:rPr>
          <w:color w:val="000000"/>
          <w:sz w:val="24"/>
          <w:szCs w:val="24"/>
        </w:rPr>
        <w:t>》、JJF（军工）39-2014《（5~400）W/cm</w:t>
      </w:r>
      <w:r>
        <w:rPr>
          <w:color w:val="000000"/>
          <w:sz w:val="24"/>
          <w:szCs w:val="24"/>
          <w:vertAlign w:val="superscript"/>
        </w:rPr>
        <w:t>2</w:t>
      </w:r>
      <w:r>
        <w:rPr>
          <w:color w:val="000000"/>
          <w:sz w:val="24"/>
          <w:szCs w:val="24"/>
        </w:rPr>
        <w:t xml:space="preserve"> 辐射热流传感器校准规范》</w:t>
      </w:r>
      <w:r>
        <w:rPr>
          <w:rFonts w:hint="eastAsia"/>
          <w:color w:val="000000"/>
          <w:sz w:val="24"/>
          <w:szCs w:val="24"/>
        </w:rPr>
        <w:t>和JJG（军工）1</w:t>
      </w:r>
      <w:r>
        <w:rPr>
          <w:color w:val="000000"/>
          <w:sz w:val="24"/>
          <w:szCs w:val="24"/>
        </w:rPr>
        <w:t>5</w:t>
      </w:r>
      <w:r>
        <w:rPr>
          <w:rFonts w:hint="eastAsia"/>
          <w:color w:val="000000"/>
          <w:sz w:val="24"/>
          <w:szCs w:val="24"/>
        </w:rPr>
        <w:t>-</w:t>
      </w:r>
      <w:r>
        <w:rPr>
          <w:color w:val="000000"/>
          <w:sz w:val="24"/>
          <w:szCs w:val="24"/>
        </w:rPr>
        <w:t>2011</w:t>
      </w:r>
      <w:r>
        <w:rPr>
          <w:rFonts w:hint="eastAsia"/>
          <w:color w:val="000000"/>
          <w:sz w:val="24"/>
          <w:szCs w:val="24"/>
        </w:rPr>
        <w:t>《烟密度测试仪检定规程》</w:t>
      </w:r>
      <w:r>
        <w:rPr>
          <w:color w:val="000000"/>
          <w:sz w:val="24"/>
          <w:szCs w:val="24"/>
        </w:rPr>
        <w:t>。</w:t>
      </w:r>
    </w:p>
    <w:p w14:paraId="40ED4677">
      <w:pPr>
        <w:autoSpaceDE w:val="0"/>
        <w:autoSpaceDN w:val="0"/>
        <w:spacing w:line="360" w:lineRule="auto"/>
        <w:ind w:firstLine="480" w:firstLineChars="200"/>
      </w:pPr>
      <w:r>
        <w:rPr>
          <w:rFonts w:ascii="宋体" w:hAnsi="宋体"/>
          <w:color w:val="000000"/>
          <w:sz w:val="24"/>
        </w:rPr>
        <w:t>本规范为首次发布。</w:t>
      </w:r>
    </w:p>
    <w:p w14:paraId="69B513DA"/>
    <w:p w14:paraId="62C77D1E"/>
    <w:p w14:paraId="1A17C975"/>
    <w:p w14:paraId="1D985404"/>
    <w:p w14:paraId="77DBCE01"/>
    <w:p w14:paraId="467AF12D"/>
    <w:p w14:paraId="75832C14"/>
    <w:p w14:paraId="443EE836"/>
    <w:p w14:paraId="3C5F3DA7"/>
    <w:p w14:paraId="2CCD07EF"/>
    <w:p w14:paraId="50B6349D"/>
    <w:p w14:paraId="790D4E3D"/>
    <w:p w14:paraId="0E7F66E2"/>
    <w:p w14:paraId="489AB528"/>
    <w:p w14:paraId="72249D30"/>
    <w:p w14:paraId="01AF3C98"/>
    <w:p w14:paraId="3AB433F7"/>
    <w:p w14:paraId="2E3A4CAC"/>
    <w:p w14:paraId="0D9C26F9"/>
    <w:p w14:paraId="3A8FD2AF"/>
    <w:p w14:paraId="3A924E34"/>
    <w:p w14:paraId="19CEF76F"/>
    <w:p w14:paraId="33F72F4C"/>
    <w:p w14:paraId="2CDE4583"/>
    <w:p w14:paraId="661D7054"/>
    <w:p w14:paraId="126B3A22"/>
    <w:p w14:paraId="36A1E83E"/>
    <w:p w14:paraId="7C576DB5"/>
    <w:p w14:paraId="4118BB21"/>
    <w:p w14:paraId="6CCFBCEC"/>
    <w:p w14:paraId="788FA510">
      <w:pPr>
        <w:sectPr>
          <w:headerReference r:id="rId9" w:type="default"/>
          <w:footerReference r:id="rId10" w:type="default"/>
          <w:pgSz w:w="11906" w:h="16838"/>
          <w:pgMar w:top="1264" w:right="1418" w:bottom="1418" w:left="1418" w:header="851" w:footer="992" w:gutter="0"/>
          <w:pgNumType w:fmt="upperRoman" w:start="1"/>
          <w:cols w:space="720" w:num="1"/>
          <w:docGrid w:type="lines" w:linePitch="312" w:charSpace="0"/>
        </w:sectPr>
      </w:pPr>
    </w:p>
    <w:p w14:paraId="39BC566B">
      <w:pPr>
        <w:jc w:val="center"/>
        <w:rPr>
          <w:rFonts w:ascii="Arial" w:hAnsi="Arial" w:eastAsia="黑体"/>
          <w:b/>
          <w:bCs/>
          <w:sz w:val="32"/>
          <w:szCs w:val="32"/>
        </w:rPr>
      </w:pPr>
      <w:r>
        <w:rPr>
          <w:rFonts w:hint="eastAsia" w:ascii="Arial" w:hAnsi="Arial" w:eastAsia="黑体" w:cs="黑体"/>
          <w:b/>
          <w:bCs/>
          <w:sz w:val="32"/>
          <w:szCs w:val="32"/>
        </w:rPr>
        <w:t>固体材料烟密度仪校准规范</w:t>
      </w:r>
    </w:p>
    <w:p w14:paraId="094C073D">
      <w:pPr>
        <w:pStyle w:val="2"/>
        <w:spacing w:line="480" w:lineRule="auto"/>
        <w:ind w:firstLine="0" w:firstLineChars="0"/>
        <w:rPr>
          <w:rFonts w:eastAsia="黑体"/>
          <w:sz w:val="24"/>
          <w:szCs w:val="24"/>
        </w:rPr>
      </w:pPr>
      <w:bookmarkStart w:id="23" w:name="_Toc150424192"/>
      <w:r>
        <w:rPr>
          <w:rFonts w:eastAsia="黑体"/>
          <w:sz w:val="24"/>
          <w:szCs w:val="24"/>
        </w:rPr>
        <w:t xml:space="preserve">1 </w:t>
      </w:r>
      <w:r>
        <w:rPr>
          <w:rFonts w:hAnsi="黑体" w:eastAsia="黑体"/>
          <w:sz w:val="24"/>
          <w:szCs w:val="24"/>
        </w:rPr>
        <w:t>范围</w:t>
      </w:r>
      <w:bookmarkEnd w:id="23"/>
    </w:p>
    <w:p w14:paraId="0CA1B086">
      <w:pPr>
        <w:pStyle w:val="2"/>
        <w:ind w:firstLine="480" w:firstLineChars="200"/>
        <w:rPr>
          <w:sz w:val="24"/>
          <w:szCs w:val="24"/>
        </w:rPr>
      </w:pPr>
      <w:bookmarkStart w:id="24" w:name="_Toc150424193"/>
      <w:r>
        <w:rPr>
          <w:sz w:val="24"/>
          <w:szCs w:val="24"/>
        </w:rPr>
        <w:t>本规范适用于辐射照度</w:t>
      </w:r>
      <w:r>
        <w:rPr>
          <w:rFonts w:hint="eastAsia"/>
          <w:sz w:val="24"/>
          <w:szCs w:val="24"/>
        </w:rPr>
        <w:t>范围</w:t>
      </w:r>
      <w:r>
        <w:rPr>
          <w:sz w:val="24"/>
          <w:szCs w:val="24"/>
        </w:rPr>
        <w:t>（10~50）kW/m</w:t>
      </w:r>
      <w:r>
        <w:rPr>
          <w:sz w:val="24"/>
          <w:szCs w:val="24"/>
          <w:vertAlign w:val="superscript"/>
        </w:rPr>
        <w:t>2</w:t>
      </w:r>
      <w:r>
        <w:rPr>
          <w:sz w:val="24"/>
          <w:szCs w:val="24"/>
        </w:rPr>
        <w:t>的</w:t>
      </w:r>
      <w:r>
        <w:rPr>
          <w:rFonts w:hint="eastAsia"/>
          <w:sz w:val="24"/>
          <w:szCs w:val="24"/>
        </w:rPr>
        <w:t>固体</w:t>
      </w:r>
      <w:r>
        <w:rPr>
          <w:sz w:val="24"/>
          <w:szCs w:val="24"/>
        </w:rPr>
        <w:t>材料烟密度仪</w:t>
      </w:r>
      <w:r>
        <w:rPr>
          <w:rFonts w:hint="eastAsia"/>
          <w:sz w:val="24"/>
          <w:szCs w:val="24"/>
        </w:rPr>
        <w:t>的</w:t>
      </w:r>
      <w:r>
        <w:rPr>
          <w:sz w:val="24"/>
          <w:szCs w:val="24"/>
        </w:rPr>
        <w:t>校准。</w:t>
      </w:r>
      <w:bookmarkEnd w:id="24"/>
    </w:p>
    <w:p w14:paraId="7DD4E580">
      <w:pPr>
        <w:pStyle w:val="2"/>
        <w:spacing w:line="480" w:lineRule="auto"/>
        <w:ind w:firstLine="0" w:firstLineChars="0"/>
        <w:rPr>
          <w:rFonts w:eastAsia="黑体"/>
          <w:sz w:val="24"/>
          <w:szCs w:val="24"/>
        </w:rPr>
      </w:pPr>
      <w:bookmarkStart w:id="25" w:name="_Toc150424194"/>
      <w:r>
        <w:rPr>
          <w:rFonts w:eastAsia="黑体"/>
          <w:sz w:val="24"/>
          <w:szCs w:val="24"/>
        </w:rPr>
        <w:t xml:space="preserve">2  </w:t>
      </w:r>
      <w:r>
        <w:rPr>
          <w:rFonts w:hint="eastAsia" w:eastAsia="黑体"/>
          <w:sz w:val="24"/>
          <w:szCs w:val="24"/>
        </w:rPr>
        <w:t>术语</w:t>
      </w:r>
      <w:bookmarkEnd w:id="25"/>
    </w:p>
    <w:p w14:paraId="41A90D55">
      <w:pPr>
        <w:spacing w:line="360" w:lineRule="auto"/>
        <w:rPr>
          <w:kern w:val="21"/>
          <w:sz w:val="24"/>
        </w:rPr>
      </w:pPr>
      <w:r>
        <w:rPr>
          <w:rFonts w:hint="eastAsia"/>
          <w:kern w:val="21"/>
          <w:sz w:val="24"/>
        </w:rPr>
        <w:t>2</w:t>
      </w:r>
      <w:r>
        <w:rPr>
          <w:kern w:val="21"/>
          <w:sz w:val="24"/>
        </w:rPr>
        <w:t xml:space="preserve">.1 </w:t>
      </w:r>
    </w:p>
    <w:p w14:paraId="0D715F3B">
      <w:pPr>
        <w:spacing w:line="360" w:lineRule="auto"/>
        <w:ind w:firstLine="480" w:firstLineChars="200"/>
        <w:rPr>
          <w:kern w:val="21"/>
          <w:sz w:val="24"/>
        </w:rPr>
      </w:pPr>
      <w:r>
        <w:rPr>
          <w:rFonts w:hint="eastAsia"/>
          <w:kern w:val="21"/>
          <w:sz w:val="24"/>
        </w:rPr>
        <w:t>辐射照度  irradiance</w:t>
      </w:r>
    </w:p>
    <w:p w14:paraId="4F747493">
      <w:pPr>
        <w:spacing w:line="360" w:lineRule="auto"/>
        <w:ind w:firstLine="480" w:firstLineChars="200"/>
        <w:rPr>
          <w:kern w:val="21"/>
          <w:sz w:val="24"/>
        </w:rPr>
      </w:pPr>
      <w:r>
        <w:rPr>
          <w:rFonts w:hint="eastAsia"/>
          <w:kern w:val="21"/>
          <w:sz w:val="24"/>
        </w:rPr>
        <w:t>入射到无限小面积内的辐射通量与该面积之比。</w:t>
      </w:r>
    </w:p>
    <w:p w14:paraId="28DA9C3C">
      <w:pPr>
        <w:spacing w:line="360" w:lineRule="auto"/>
        <w:rPr>
          <w:kern w:val="21"/>
          <w:sz w:val="24"/>
        </w:rPr>
      </w:pPr>
      <w:r>
        <w:rPr>
          <w:rFonts w:hint="eastAsia"/>
          <w:kern w:val="21"/>
          <w:sz w:val="24"/>
        </w:rPr>
        <w:t>2</w:t>
      </w:r>
      <w:r>
        <w:rPr>
          <w:kern w:val="21"/>
          <w:sz w:val="24"/>
        </w:rPr>
        <w:t xml:space="preserve">.2 </w:t>
      </w:r>
    </w:p>
    <w:p w14:paraId="65A8746C">
      <w:pPr>
        <w:spacing w:line="360" w:lineRule="auto"/>
        <w:ind w:firstLine="480" w:firstLineChars="200"/>
        <w:rPr>
          <w:kern w:val="21"/>
          <w:sz w:val="24"/>
        </w:rPr>
      </w:pPr>
      <w:r>
        <w:rPr>
          <w:rFonts w:hint="eastAsia"/>
          <w:kern w:val="21"/>
          <w:sz w:val="24"/>
        </w:rPr>
        <w:t xml:space="preserve">透光率  </w:t>
      </w:r>
      <w:r>
        <w:rPr>
          <w:rFonts w:hint="eastAsia"/>
          <w:i/>
          <w:iCs/>
          <w:kern w:val="21"/>
          <w:sz w:val="24"/>
        </w:rPr>
        <w:t>T</w:t>
      </w:r>
      <w:r>
        <w:rPr>
          <w:kern w:val="21"/>
          <w:sz w:val="24"/>
        </w:rPr>
        <w:t xml:space="preserve">  </w:t>
      </w:r>
      <w:r>
        <w:rPr>
          <w:rFonts w:hint="eastAsia"/>
          <w:kern w:val="21"/>
          <w:sz w:val="24"/>
        </w:rPr>
        <w:t>light</w:t>
      </w:r>
      <w:r>
        <w:rPr>
          <w:kern w:val="21"/>
          <w:sz w:val="24"/>
        </w:rPr>
        <w:t xml:space="preserve"> </w:t>
      </w:r>
      <w:r>
        <w:rPr>
          <w:rFonts w:hint="eastAsia"/>
          <w:kern w:val="21"/>
          <w:sz w:val="24"/>
        </w:rPr>
        <w:t>transmittance</w:t>
      </w:r>
      <w:r>
        <w:rPr>
          <w:kern w:val="21"/>
          <w:sz w:val="24"/>
        </w:rPr>
        <w:t xml:space="preserve"> </w:t>
      </w:r>
      <w:r>
        <w:rPr>
          <w:rFonts w:hint="eastAsia"/>
          <w:i/>
          <w:iCs/>
          <w:kern w:val="21"/>
          <w:sz w:val="24"/>
        </w:rPr>
        <w:t>T</w:t>
      </w:r>
    </w:p>
    <w:p w14:paraId="0A875025">
      <w:pPr>
        <w:spacing w:line="360" w:lineRule="auto"/>
        <w:ind w:firstLine="480"/>
        <w:rPr>
          <w:kern w:val="21"/>
          <w:sz w:val="24"/>
        </w:rPr>
      </w:pPr>
      <w:r>
        <w:rPr>
          <w:rFonts w:hint="eastAsia"/>
          <w:kern w:val="21"/>
          <w:sz w:val="24"/>
        </w:rPr>
        <w:t>透射光通量（</w:t>
      </w:r>
      <w:r>
        <w:rPr>
          <w:rFonts w:hint="eastAsia"/>
          <w:i/>
          <w:iCs/>
          <w:kern w:val="21"/>
          <w:sz w:val="24"/>
        </w:rPr>
        <w:t>F</w:t>
      </w:r>
      <w:r>
        <w:rPr>
          <w:rFonts w:hint="eastAsia"/>
          <w:kern w:val="21"/>
          <w:sz w:val="24"/>
        </w:rPr>
        <w:t>）与入射光通量（</w:t>
      </w:r>
      <w:r>
        <w:rPr>
          <w:rFonts w:hint="eastAsia"/>
          <w:i/>
          <w:iCs/>
          <w:kern w:val="21"/>
          <w:sz w:val="24"/>
        </w:rPr>
        <w:t>F</w:t>
      </w:r>
      <w:r>
        <w:rPr>
          <w:kern w:val="21"/>
          <w:sz w:val="24"/>
          <w:vertAlign w:val="subscript"/>
        </w:rPr>
        <w:t>0</w:t>
      </w:r>
      <w:r>
        <w:rPr>
          <w:rFonts w:hint="eastAsia"/>
          <w:kern w:val="21"/>
          <w:sz w:val="24"/>
        </w:rPr>
        <w:t>）比值的百分数。</w:t>
      </w:r>
    </w:p>
    <w:p w14:paraId="2C345CD3">
      <w:pPr>
        <w:spacing w:line="360" w:lineRule="auto"/>
        <w:rPr>
          <w:kern w:val="21"/>
          <w:sz w:val="24"/>
        </w:rPr>
      </w:pPr>
      <w:r>
        <w:rPr>
          <w:rFonts w:hint="eastAsia"/>
          <w:kern w:val="21"/>
          <w:sz w:val="24"/>
        </w:rPr>
        <w:t>2</w:t>
      </w:r>
      <w:r>
        <w:rPr>
          <w:kern w:val="21"/>
          <w:sz w:val="24"/>
        </w:rPr>
        <w:t xml:space="preserve">.3 </w:t>
      </w:r>
    </w:p>
    <w:p w14:paraId="6B755C7A">
      <w:pPr>
        <w:spacing w:line="360" w:lineRule="auto"/>
        <w:ind w:firstLine="480" w:firstLineChars="200"/>
        <w:rPr>
          <w:kern w:val="21"/>
          <w:sz w:val="24"/>
        </w:rPr>
      </w:pPr>
      <w:r>
        <w:rPr>
          <w:rFonts w:hint="eastAsia"/>
          <w:kern w:val="21"/>
          <w:sz w:val="24"/>
        </w:rPr>
        <w:t xml:space="preserve">烟雾的光密度  </w:t>
      </w:r>
      <w:r>
        <w:rPr>
          <w:rFonts w:hint="eastAsia"/>
          <w:i/>
          <w:iCs/>
          <w:kern w:val="21"/>
          <w:sz w:val="24"/>
        </w:rPr>
        <w:t>D</w:t>
      </w:r>
      <w:r>
        <w:rPr>
          <w:kern w:val="21"/>
          <w:sz w:val="24"/>
        </w:rPr>
        <w:t xml:space="preserve">  </w:t>
      </w:r>
      <w:r>
        <w:rPr>
          <w:rFonts w:hint="eastAsia"/>
          <w:kern w:val="21"/>
          <w:sz w:val="24"/>
        </w:rPr>
        <w:t>optical</w:t>
      </w:r>
      <w:r>
        <w:rPr>
          <w:kern w:val="21"/>
          <w:sz w:val="24"/>
        </w:rPr>
        <w:t xml:space="preserve"> </w:t>
      </w:r>
      <w:r>
        <w:rPr>
          <w:rFonts w:hint="eastAsia"/>
          <w:kern w:val="21"/>
          <w:sz w:val="24"/>
        </w:rPr>
        <w:t>density</w:t>
      </w:r>
      <w:r>
        <w:rPr>
          <w:kern w:val="21"/>
          <w:sz w:val="24"/>
        </w:rPr>
        <w:t xml:space="preserve"> </w:t>
      </w:r>
      <w:r>
        <w:rPr>
          <w:rFonts w:hint="eastAsia"/>
          <w:kern w:val="21"/>
          <w:sz w:val="24"/>
        </w:rPr>
        <w:t>of</w:t>
      </w:r>
      <w:r>
        <w:rPr>
          <w:kern w:val="21"/>
          <w:sz w:val="24"/>
        </w:rPr>
        <w:t xml:space="preserve"> </w:t>
      </w:r>
      <w:r>
        <w:rPr>
          <w:rFonts w:hint="eastAsia"/>
          <w:kern w:val="21"/>
          <w:sz w:val="24"/>
        </w:rPr>
        <w:t>smoke</w:t>
      </w:r>
      <w:r>
        <w:rPr>
          <w:kern w:val="21"/>
          <w:sz w:val="24"/>
        </w:rPr>
        <w:t xml:space="preserve"> </w:t>
      </w:r>
      <w:r>
        <w:rPr>
          <w:i/>
          <w:iCs/>
          <w:kern w:val="21"/>
          <w:sz w:val="24"/>
        </w:rPr>
        <w:t>D</w:t>
      </w:r>
    </w:p>
    <w:p w14:paraId="1069B3A0">
      <w:pPr>
        <w:spacing w:line="360" w:lineRule="auto"/>
        <w:ind w:firstLine="480"/>
        <w:rPr>
          <w:kern w:val="21"/>
          <w:sz w:val="24"/>
        </w:rPr>
      </w:pPr>
      <w:r>
        <w:rPr>
          <w:rFonts w:hint="eastAsia"/>
          <w:kern w:val="21"/>
          <w:sz w:val="24"/>
        </w:rPr>
        <w:t>烟雾的不透光程度，用相对透光率的负对数表示。</w:t>
      </w:r>
    </w:p>
    <w:p w14:paraId="421CCBFB">
      <w:pPr>
        <w:spacing w:line="360" w:lineRule="auto"/>
        <w:rPr>
          <w:kern w:val="21"/>
          <w:sz w:val="24"/>
        </w:rPr>
      </w:pPr>
      <w:r>
        <w:rPr>
          <w:rFonts w:hint="eastAsia"/>
          <w:kern w:val="21"/>
          <w:sz w:val="24"/>
        </w:rPr>
        <w:t>2</w:t>
      </w:r>
      <w:r>
        <w:rPr>
          <w:kern w:val="21"/>
          <w:sz w:val="24"/>
        </w:rPr>
        <w:t>.4</w:t>
      </w:r>
    </w:p>
    <w:p w14:paraId="53DB8E67">
      <w:pPr>
        <w:spacing w:line="360" w:lineRule="auto"/>
        <w:ind w:firstLine="480" w:firstLineChars="200"/>
        <w:rPr>
          <w:kern w:val="21"/>
          <w:sz w:val="24"/>
        </w:rPr>
      </w:pPr>
      <w:r>
        <w:rPr>
          <w:rFonts w:hint="eastAsia"/>
          <w:kern w:val="21"/>
          <w:sz w:val="24"/>
        </w:rPr>
        <w:t xml:space="preserve">比光密度  </w:t>
      </w:r>
      <w:r>
        <w:rPr>
          <w:rFonts w:hint="eastAsia"/>
          <w:i/>
          <w:iCs/>
          <w:kern w:val="21"/>
          <w:sz w:val="24"/>
        </w:rPr>
        <w:t>D</w:t>
      </w:r>
      <w:r>
        <w:rPr>
          <w:kern w:val="21"/>
          <w:sz w:val="24"/>
        </w:rPr>
        <w:t xml:space="preserve">s  </w:t>
      </w:r>
      <w:r>
        <w:rPr>
          <w:rFonts w:hint="eastAsia"/>
          <w:kern w:val="21"/>
          <w:sz w:val="24"/>
        </w:rPr>
        <w:t>specific</w:t>
      </w:r>
      <w:r>
        <w:rPr>
          <w:kern w:val="21"/>
          <w:sz w:val="24"/>
        </w:rPr>
        <w:t xml:space="preserve"> </w:t>
      </w:r>
      <w:r>
        <w:rPr>
          <w:rFonts w:hint="eastAsia"/>
          <w:kern w:val="21"/>
          <w:sz w:val="24"/>
        </w:rPr>
        <w:t>optical</w:t>
      </w:r>
      <w:r>
        <w:rPr>
          <w:kern w:val="21"/>
          <w:sz w:val="24"/>
        </w:rPr>
        <w:t xml:space="preserve"> </w:t>
      </w:r>
      <w:r>
        <w:rPr>
          <w:rFonts w:hint="eastAsia"/>
          <w:kern w:val="21"/>
          <w:sz w:val="24"/>
        </w:rPr>
        <w:t>density</w:t>
      </w:r>
      <w:r>
        <w:rPr>
          <w:kern w:val="21"/>
          <w:sz w:val="24"/>
        </w:rPr>
        <w:t xml:space="preserve"> </w:t>
      </w:r>
      <w:r>
        <w:rPr>
          <w:rFonts w:hint="eastAsia"/>
          <w:i/>
          <w:iCs/>
          <w:kern w:val="21"/>
          <w:sz w:val="24"/>
        </w:rPr>
        <w:t>D</w:t>
      </w:r>
      <w:r>
        <w:rPr>
          <w:kern w:val="21"/>
          <w:sz w:val="24"/>
        </w:rPr>
        <w:t>s</w:t>
      </w:r>
    </w:p>
    <w:p w14:paraId="65CA2144">
      <w:pPr>
        <w:spacing w:line="360" w:lineRule="auto"/>
        <w:ind w:firstLine="480"/>
        <w:rPr>
          <w:color w:val="000000"/>
          <w:sz w:val="24"/>
          <w:szCs w:val="24"/>
        </w:rPr>
      </w:pPr>
      <w:r>
        <w:rPr>
          <w:rFonts w:hint="eastAsia"/>
          <w:color w:val="000000"/>
          <w:sz w:val="24"/>
          <w:szCs w:val="24"/>
        </w:rPr>
        <w:t>光密度与一个因子的乘积，该因子是测试箱体积与试样曝露面积和光束的光程乘积之比计算得到的。</w:t>
      </w:r>
    </w:p>
    <w:p w14:paraId="166B19AD">
      <w:pPr>
        <w:pStyle w:val="2"/>
        <w:spacing w:line="480" w:lineRule="auto"/>
        <w:ind w:firstLine="0" w:firstLineChars="0"/>
        <w:rPr>
          <w:rFonts w:eastAsia="黑体"/>
          <w:sz w:val="24"/>
          <w:szCs w:val="24"/>
        </w:rPr>
      </w:pPr>
      <w:bookmarkStart w:id="26" w:name="_Toc150424195"/>
      <w:r>
        <w:rPr>
          <w:rFonts w:eastAsia="黑体"/>
          <w:sz w:val="24"/>
          <w:szCs w:val="24"/>
        </w:rPr>
        <w:t>3  概述</w:t>
      </w:r>
      <w:bookmarkEnd w:id="26"/>
    </w:p>
    <w:p w14:paraId="4642DB7F">
      <w:pPr>
        <w:spacing w:line="360" w:lineRule="auto"/>
        <w:ind w:left="-178" w:leftChars="-85" w:firstLine="360" w:firstLineChars="150"/>
        <w:rPr>
          <w:rFonts w:hint="eastAsia" w:hAnsi="宋体"/>
          <w:kern w:val="0"/>
          <w:sz w:val="24"/>
        </w:rPr>
      </w:pPr>
      <w:r>
        <w:rPr>
          <w:rFonts w:hint="eastAsia"/>
          <w:sz w:val="24"/>
        </w:rPr>
        <w:t>烟密度是指材料在规定的试验条件下发烟量的量度，它是用透过烟的光强度衰减量来描述的。</w:t>
      </w:r>
      <w:r>
        <w:rPr>
          <w:rFonts w:hint="eastAsia" w:hAnsi="宋体"/>
          <w:kern w:val="0"/>
          <w:sz w:val="24"/>
        </w:rPr>
        <w:t>固体材料烟密度仪测定固体材料在规定条件下燃烧时所产生烟雾的比光密度，并以最大比光密度为实验结果。该方法测定的值与试样的形状、密度、厚度等因素有关，不能认为是材料固有的性质。它仅用于评定在规定条件下材料的发烟性能，不能作为评定实际使用条件下发烟危害性的依据。</w:t>
      </w:r>
    </w:p>
    <w:p w14:paraId="3363F701">
      <w:pPr>
        <w:spacing w:line="360" w:lineRule="auto"/>
        <w:ind w:left="-178" w:leftChars="-85" w:firstLine="360" w:firstLineChars="150"/>
        <w:rPr>
          <w:rFonts w:hint="eastAsia" w:hAnsi="宋体"/>
          <w:kern w:val="0"/>
          <w:sz w:val="24"/>
        </w:rPr>
      </w:pPr>
      <w:r>
        <w:rPr>
          <w:rFonts w:hint="eastAsia" w:hAnsi="宋体"/>
          <w:kern w:val="0"/>
          <w:sz w:val="24"/>
        </w:rPr>
        <w:t>材料烟密度仪主要由光电测量系统、辐射系统、燃烧室、试样支架和数据采集分析系统等部分组成，其结构示意图见图1。</w:t>
      </w:r>
    </w:p>
    <w:p w14:paraId="0164DAD9">
      <w:pPr>
        <w:spacing w:line="360" w:lineRule="auto"/>
        <w:ind w:left="-178" w:leftChars="-85" w:firstLine="315" w:firstLineChars="150"/>
        <w:jc w:val="center"/>
        <w:rPr>
          <w:rFonts w:hint="eastAsia" w:hAnsi="宋体"/>
          <w:kern w:val="0"/>
          <w:sz w:val="24"/>
        </w:rPr>
      </w:pPr>
      <w:r>
        <w:drawing>
          <wp:inline distT="0" distB="0" distL="0" distR="0">
            <wp:extent cx="3802380" cy="43580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02380" cy="4358005"/>
                    </a:xfrm>
                    <a:prstGeom prst="rect">
                      <a:avLst/>
                    </a:prstGeom>
                    <a:noFill/>
                    <a:ln>
                      <a:noFill/>
                    </a:ln>
                  </pic:spPr>
                </pic:pic>
              </a:graphicData>
            </a:graphic>
          </wp:inline>
        </w:drawing>
      </w:r>
    </w:p>
    <w:p w14:paraId="65DA14A5">
      <w:pPr>
        <w:spacing w:line="360" w:lineRule="auto"/>
        <w:ind w:left="-178" w:leftChars="-85" w:firstLine="360" w:firstLineChars="150"/>
        <w:jc w:val="center"/>
        <w:rPr>
          <w:rFonts w:hint="eastAsia" w:hAnsi="宋体"/>
          <w:kern w:val="0"/>
          <w:sz w:val="24"/>
        </w:rPr>
      </w:pPr>
      <w:r>
        <w:rPr>
          <w:rFonts w:hint="eastAsia" w:hAnsi="宋体"/>
          <w:kern w:val="0"/>
          <w:sz w:val="24"/>
        </w:rPr>
        <w:t>图1</w:t>
      </w:r>
      <w:r>
        <w:rPr>
          <w:rFonts w:hAnsi="宋体"/>
          <w:kern w:val="0"/>
          <w:sz w:val="24"/>
        </w:rPr>
        <w:t xml:space="preserve"> </w:t>
      </w:r>
      <w:r>
        <w:rPr>
          <w:rFonts w:hint="eastAsia" w:hAnsi="宋体"/>
          <w:kern w:val="0"/>
          <w:sz w:val="24"/>
        </w:rPr>
        <w:t>固体材料烟密度仪的典型结构示意图</w:t>
      </w:r>
    </w:p>
    <w:p w14:paraId="5670DE79">
      <w:pPr>
        <w:spacing w:line="360" w:lineRule="auto"/>
        <w:ind w:left="-178" w:leftChars="-85" w:firstLine="360" w:firstLineChars="150"/>
        <w:jc w:val="center"/>
        <w:rPr>
          <w:rFonts w:hint="eastAsia" w:hAnsi="宋体"/>
          <w:kern w:val="0"/>
          <w:sz w:val="24"/>
        </w:rPr>
      </w:pPr>
      <w:r>
        <w:rPr>
          <w:rFonts w:hint="eastAsia" w:hAnsi="宋体"/>
          <w:kern w:val="0"/>
          <w:sz w:val="24"/>
        </w:rPr>
        <w:t>1—光电倍增管暗箱；2—辐射锥；3—样品架及点火器；4—爆破片；5—光学系统的下光窗</w:t>
      </w:r>
    </w:p>
    <w:p w14:paraId="3DDDCA63">
      <w:pPr>
        <w:pStyle w:val="2"/>
        <w:spacing w:line="480" w:lineRule="auto"/>
        <w:ind w:firstLine="0" w:firstLineChars="0"/>
        <w:rPr>
          <w:rFonts w:eastAsia="黑体"/>
          <w:sz w:val="24"/>
          <w:szCs w:val="24"/>
        </w:rPr>
      </w:pPr>
      <w:bookmarkStart w:id="27" w:name="_Toc150424196"/>
      <w:r>
        <w:rPr>
          <w:rFonts w:hint="eastAsia" w:eastAsia="黑体"/>
          <w:sz w:val="24"/>
          <w:szCs w:val="24"/>
        </w:rPr>
        <w:t>4  计量特性</w:t>
      </w:r>
      <w:bookmarkEnd w:id="27"/>
    </w:p>
    <w:p w14:paraId="00A9FB7B">
      <w:pPr>
        <w:spacing w:line="360" w:lineRule="auto"/>
        <w:ind w:firstLine="480" w:firstLineChars="200"/>
        <w:rPr>
          <w:rFonts w:hint="eastAsia" w:hAnsi="宋体"/>
          <w:kern w:val="0"/>
          <w:sz w:val="24"/>
        </w:rPr>
      </w:pPr>
      <w:r>
        <w:rPr>
          <w:rFonts w:hint="eastAsia" w:hAnsi="宋体"/>
          <w:kern w:val="0"/>
          <w:sz w:val="24"/>
        </w:rPr>
        <w:t>固体材料烟密度仪的主要计量特性见表1。</w:t>
      </w:r>
    </w:p>
    <w:p w14:paraId="08A3AEE7">
      <w:pPr>
        <w:spacing w:line="360" w:lineRule="auto"/>
        <w:jc w:val="center"/>
        <w:rPr>
          <w:rFonts w:hint="eastAsia" w:ascii="黑体" w:hAnsi="黑体" w:eastAsia="黑体"/>
          <w:sz w:val="24"/>
          <w:szCs w:val="24"/>
        </w:rPr>
      </w:pPr>
      <w:r>
        <w:rPr>
          <w:rFonts w:hint="eastAsia" w:ascii="黑体" w:hAnsi="黑体" w:eastAsia="黑体"/>
          <w:sz w:val="24"/>
          <w:szCs w:val="24"/>
        </w:rPr>
        <w:t>表1 固体材料烟密度仪的主要计量特性</w:t>
      </w:r>
    </w:p>
    <w:tbl>
      <w:tblPr>
        <w:tblStyle w:val="16"/>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3811"/>
        <w:gridCol w:w="2552"/>
      </w:tblGrid>
      <w:tr w14:paraId="0557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dxa"/>
            <w:vAlign w:val="center"/>
          </w:tcPr>
          <w:p w14:paraId="0A798899">
            <w:pPr>
              <w:spacing w:line="360" w:lineRule="auto"/>
              <w:jc w:val="center"/>
              <w:rPr>
                <w:rFonts w:eastAsia="等线"/>
                <w:sz w:val="24"/>
                <w:szCs w:val="24"/>
              </w:rPr>
            </w:pPr>
            <w:bookmarkStart w:id="28" w:name="_Hlk56487274"/>
            <w:r>
              <w:rPr>
                <w:rFonts w:hAnsi="等线" w:eastAsia="等线"/>
                <w:sz w:val="24"/>
                <w:szCs w:val="24"/>
              </w:rPr>
              <w:t>序号</w:t>
            </w:r>
          </w:p>
        </w:tc>
        <w:tc>
          <w:tcPr>
            <w:tcW w:w="3811" w:type="dxa"/>
            <w:vAlign w:val="center"/>
          </w:tcPr>
          <w:p w14:paraId="7379FD4B">
            <w:pPr>
              <w:spacing w:line="360" w:lineRule="auto"/>
              <w:jc w:val="center"/>
              <w:rPr>
                <w:sz w:val="24"/>
                <w:szCs w:val="24"/>
              </w:rPr>
            </w:pPr>
            <w:r>
              <w:rPr>
                <w:rFonts w:hint="eastAsia"/>
                <w:sz w:val="24"/>
                <w:szCs w:val="24"/>
              </w:rPr>
              <w:t>校准项目</w:t>
            </w:r>
          </w:p>
        </w:tc>
        <w:tc>
          <w:tcPr>
            <w:tcW w:w="2552" w:type="dxa"/>
            <w:vAlign w:val="center"/>
          </w:tcPr>
          <w:p w14:paraId="29F70A6D">
            <w:pPr>
              <w:spacing w:line="360" w:lineRule="auto"/>
              <w:jc w:val="center"/>
              <w:rPr>
                <w:sz w:val="24"/>
                <w:szCs w:val="24"/>
              </w:rPr>
            </w:pPr>
            <w:r>
              <w:rPr>
                <w:rFonts w:hint="eastAsia"/>
                <w:sz w:val="24"/>
                <w:szCs w:val="24"/>
              </w:rPr>
              <w:t>最大允许值</w:t>
            </w:r>
          </w:p>
        </w:tc>
      </w:tr>
      <w:tr w14:paraId="4DCC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62" w:type="dxa"/>
            <w:vAlign w:val="center"/>
          </w:tcPr>
          <w:p w14:paraId="1435D0EF">
            <w:pPr>
              <w:spacing w:line="360" w:lineRule="auto"/>
              <w:jc w:val="center"/>
              <w:rPr>
                <w:rFonts w:eastAsia="等线"/>
                <w:sz w:val="24"/>
                <w:szCs w:val="24"/>
              </w:rPr>
            </w:pPr>
            <w:r>
              <w:rPr>
                <w:rFonts w:eastAsia="等线"/>
                <w:sz w:val="24"/>
                <w:szCs w:val="24"/>
              </w:rPr>
              <w:t>1</w:t>
            </w:r>
          </w:p>
        </w:tc>
        <w:tc>
          <w:tcPr>
            <w:tcW w:w="3811" w:type="dxa"/>
            <w:vAlign w:val="center"/>
          </w:tcPr>
          <w:p w14:paraId="6F9D11E6">
            <w:pPr>
              <w:spacing w:line="360" w:lineRule="auto"/>
              <w:jc w:val="center"/>
              <w:rPr>
                <w:sz w:val="24"/>
                <w:szCs w:val="24"/>
              </w:rPr>
            </w:pPr>
            <w:r>
              <w:rPr>
                <w:rFonts w:hint="eastAsia"/>
                <w:sz w:val="24"/>
                <w:szCs w:val="24"/>
              </w:rPr>
              <w:t>透光率示值误差</w:t>
            </w:r>
          </w:p>
        </w:tc>
        <w:tc>
          <w:tcPr>
            <w:tcW w:w="2552" w:type="dxa"/>
            <w:vAlign w:val="center"/>
          </w:tcPr>
          <w:p w14:paraId="77C4A3C8">
            <w:pPr>
              <w:spacing w:line="360" w:lineRule="auto"/>
              <w:jc w:val="center"/>
              <w:rPr>
                <w:kern w:val="0"/>
                <w:sz w:val="24"/>
                <w:szCs w:val="24"/>
              </w:rPr>
            </w:pPr>
            <w:r>
              <w:rPr>
                <w:kern w:val="0"/>
                <w:sz w:val="24"/>
                <w:szCs w:val="24"/>
              </w:rPr>
              <w:t>±5</w:t>
            </w:r>
            <w:r>
              <w:rPr>
                <w:rFonts w:hint="eastAsia"/>
                <w:kern w:val="0"/>
                <w:sz w:val="24"/>
                <w:szCs w:val="24"/>
              </w:rPr>
              <w:t>%</w:t>
            </w:r>
          </w:p>
        </w:tc>
      </w:tr>
      <w:tr w14:paraId="489F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62" w:type="dxa"/>
            <w:vAlign w:val="center"/>
          </w:tcPr>
          <w:p w14:paraId="2A0D826F">
            <w:pPr>
              <w:spacing w:line="360" w:lineRule="auto"/>
              <w:jc w:val="center"/>
              <w:rPr>
                <w:rFonts w:eastAsia="等线"/>
                <w:sz w:val="24"/>
                <w:szCs w:val="24"/>
              </w:rPr>
            </w:pPr>
            <w:r>
              <w:rPr>
                <w:rFonts w:hint="eastAsia" w:eastAsia="等线"/>
                <w:sz w:val="24"/>
                <w:szCs w:val="24"/>
              </w:rPr>
              <w:t>2</w:t>
            </w:r>
          </w:p>
        </w:tc>
        <w:tc>
          <w:tcPr>
            <w:tcW w:w="3811" w:type="dxa"/>
            <w:vAlign w:val="center"/>
          </w:tcPr>
          <w:p w14:paraId="6351A467">
            <w:pPr>
              <w:spacing w:line="360" w:lineRule="auto"/>
              <w:jc w:val="center"/>
              <w:rPr>
                <w:sz w:val="24"/>
                <w:szCs w:val="24"/>
              </w:rPr>
            </w:pPr>
            <w:r>
              <w:rPr>
                <w:rFonts w:hint="eastAsia"/>
                <w:sz w:val="24"/>
                <w:szCs w:val="24"/>
              </w:rPr>
              <w:t>透光率重复性</w:t>
            </w:r>
          </w:p>
        </w:tc>
        <w:tc>
          <w:tcPr>
            <w:tcW w:w="2552" w:type="dxa"/>
            <w:vAlign w:val="center"/>
          </w:tcPr>
          <w:p w14:paraId="4E1CF994">
            <w:pPr>
              <w:spacing w:line="360" w:lineRule="auto"/>
              <w:jc w:val="center"/>
              <w:rPr>
                <w:kern w:val="0"/>
                <w:sz w:val="24"/>
                <w:szCs w:val="24"/>
              </w:rPr>
            </w:pPr>
            <w:r>
              <w:rPr>
                <w:kern w:val="0"/>
                <w:sz w:val="24"/>
                <w:szCs w:val="24"/>
              </w:rPr>
              <w:t>3</w:t>
            </w:r>
            <w:r>
              <w:rPr>
                <w:rFonts w:hint="eastAsia"/>
                <w:kern w:val="0"/>
                <w:sz w:val="24"/>
                <w:szCs w:val="24"/>
              </w:rPr>
              <w:t>%</w:t>
            </w:r>
          </w:p>
        </w:tc>
      </w:tr>
      <w:tr w14:paraId="6C6C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dxa"/>
            <w:vAlign w:val="center"/>
          </w:tcPr>
          <w:p w14:paraId="2C0E5A5E">
            <w:pPr>
              <w:spacing w:line="360" w:lineRule="auto"/>
              <w:jc w:val="center"/>
              <w:rPr>
                <w:rFonts w:eastAsia="黑体"/>
                <w:sz w:val="24"/>
                <w:szCs w:val="24"/>
              </w:rPr>
            </w:pPr>
            <w:r>
              <w:rPr>
                <w:rFonts w:eastAsia="黑体"/>
                <w:sz w:val="24"/>
                <w:szCs w:val="24"/>
              </w:rPr>
              <w:t>3</w:t>
            </w:r>
          </w:p>
        </w:tc>
        <w:tc>
          <w:tcPr>
            <w:tcW w:w="3811" w:type="dxa"/>
            <w:vAlign w:val="center"/>
          </w:tcPr>
          <w:p w14:paraId="3DAD8A89">
            <w:pPr>
              <w:spacing w:line="360" w:lineRule="auto"/>
              <w:jc w:val="center"/>
              <w:rPr>
                <w:sz w:val="24"/>
                <w:szCs w:val="24"/>
              </w:rPr>
            </w:pPr>
            <w:r>
              <w:rPr>
                <w:rFonts w:hint="eastAsia"/>
                <w:sz w:val="24"/>
                <w:szCs w:val="24"/>
              </w:rPr>
              <w:t>辐射照度示值误差</w:t>
            </w:r>
          </w:p>
        </w:tc>
        <w:tc>
          <w:tcPr>
            <w:tcW w:w="2552" w:type="dxa"/>
            <w:vAlign w:val="center"/>
          </w:tcPr>
          <w:p w14:paraId="45A88110">
            <w:pPr>
              <w:spacing w:line="360" w:lineRule="auto"/>
              <w:jc w:val="center"/>
              <w:rPr>
                <w:kern w:val="0"/>
                <w:sz w:val="24"/>
                <w:szCs w:val="24"/>
              </w:rPr>
            </w:pPr>
            <w:r>
              <w:rPr>
                <w:kern w:val="0"/>
                <w:sz w:val="24"/>
                <w:szCs w:val="24"/>
              </w:rPr>
              <w:t>±5%</w:t>
            </w:r>
          </w:p>
        </w:tc>
      </w:tr>
      <w:tr w14:paraId="7BBDE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dxa"/>
            <w:vAlign w:val="center"/>
          </w:tcPr>
          <w:p w14:paraId="0857FE14">
            <w:pPr>
              <w:spacing w:line="360" w:lineRule="auto"/>
              <w:jc w:val="center"/>
              <w:rPr>
                <w:rFonts w:eastAsia="黑体"/>
                <w:sz w:val="24"/>
                <w:szCs w:val="24"/>
              </w:rPr>
            </w:pPr>
            <w:r>
              <w:rPr>
                <w:rFonts w:eastAsia="黑体"/>
                <w:sz w:val="24"/>
                <w:szCs w:val="24"/>
              </w:rPr>
              <w:t>4</w:t>
            </w:r>
          </w:p>
        </w:tc>
        <w:tc>
          <w:tcPr>
            <w:tcW w:w="3811" w:type="dxa"/>
            <w:vAlign w:val="center"/>
          </w:tcPr>
          <w:p w14:paraId="32BB06D4">
            <w:pPr>
              <w:spacing w:line="360" w:lineRule="auto"/>
              <w:jc w:val="center"/>
              <w:rPr>
                <w:sz w:val="24"/>
                <w:szCs w:val="24"/>
              </w:rPr>
            </w:pPr>
            <w:r>
              <w:rPr>
                <w:rFonts w:hint="eastAsia"/>
                <w:sz w:val="24"/>
                <w:szCs w:val="24"/>
              </w:rPr>
              <w:t>比光密度示值误差</w:t>
            </w:r>
          </w:p>
        </w:tc>
        <w:tc>
          <w:tcPr>
            <w:tcW w:w="2552" w:type="dxa"/>
            <w:vAlign w:val="center"/>
          </w:tcPr>
          <w:p w14:paraId="4C01CA62">
            <w:pPr>
              <w:spacing w:line="360" w:lineRule="auto"/>
              <w:jc w:val="center"/>
              <w:rPr>
                <w:kern w:val="0"/>
                <w:sz w:val="24"/>
                <w:szCs w:val="24"/>
              </w:rPr>
            </w:pPr>
            <w:r>
              <w:rPr>
                <w:kern w:val="0"/>
                <w:sz w:val="24"/>
                <w:szCs w:val="24"/>
              </w:rPr>
              <w:t>±10%</w:t>
            </w:r>
          </w:p>
        </w:tc>
      </w:tr>
      <w:tr w14:paraId="1022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2" w:type="dxa"/>
            <w:vAlign w:val="center"/>
          </w:tcPr>
          <w:p w14:paraId="3ECD6D6E">
            <w:pPr>
              <w:spacing w:line="360" w:lineRule="auto"/>
              <w:jc w:val="center"/>
              <w:rPr>
                <w:rFonts w:eastAsia="黑体"/>
                <w:sz w:val="24"/>
                <w:szCs w:val="24"/>
              </w:rPr>
            </w:pPr>
            <w:r>
              <w:rPr>
                <w:rFonts w:hint="eastAsia" w:eastAsia="黑体"/>
                <w:sz w:val="24"/>
                <w:szCs w:val="24"/>
              </w:rPr>
              <w:t>5</w:t>
            </w:r>
          </w:p>
        </w:tc>
        <w:tc>
          <w:tcPr>
            <w:tcW w:w="3811" w:type="dxa"/>
            <w:vAlign w:val="center"/>
          </w:tcPr>
          <w:p w14:paraId="69EBFD2F">
            <w:pPr>
              <w:spacing w:line="360" w:lineRule="auto"/>
              <w:jc w:val="center"/>
              <w:rPr>
                <w:sz w:val="24"/>
                <w:szCs w:val="24"/>
              </w:rPr>
            </w:pPr>
            <w:r>
              <w:rPr>
                <w:rFonts w:hint="eastAsia"/>
                <w:sz w:val="24"/>
                <w:szCs w:val="24"/>
              </w:rPr>
              <w:t>比光烟密度重复性</w:t>
            </w:r>
          </w:p>
        </w:tc>
        <w:tc>
          <w:tcPr>
            <w:tcW w:w="2552" w:type="dxa"/>
            <w:vAlign w:val="center"/>
          </w:tcPr>
          <w:p w14:paraId="1D5CE751">
            <w:pPr>
              <w:spacing w:line="360" w:lineRule="auto"/>
              <w:jc w:val="center"/>
              <w:rPr>
                <w:kern w:val="0"/>
                <w:sz w:val="24"/>
                <w:szCs w:val="24"/>
              </w:rPr>
            </w:pPr>
            <w:r>
              <w:rPr>
                <w:kern w:val="0"/>
                <w:sz w:val="24"/>
                <w:szCs w:val="24"/>
              </w:rPr>
              <w:t>5%</w:t>
            </w:r>
          </w:p>
        </w:tc>
      </w:tr>
      <w:bookmarkEnd w:id="28"/>
    </w:tbl>
    <w:p w14:paraId="228C348A">
      <w:pPr>
        <w:spacing w:line="480" w:lineRule="auto"/>
        <w:rPr>
          <w:rFonts w:hint="eastAsia" w:ascii="仿宋" w:hAnsi="仿宋" w:eastAsia="仿宋"/>
          <w:sz w:val="24"/>
          <w:szCs w:val="24"/>
        </w:rPr>
      </w:pPr>
      <w:r>
        <w:rPr>
          <w:rFonts w:hint="eastAsia" w:ascii="仿宋" w:hAnsi="仿宋" w:eastAsia="仿宋"/>
          <w:sz w:val="24"/>
          <w:szCs w:val="24"/>
        </w:rPr>
        <w:t>注：由于校准工作只给出测量结果，不判断合格与否，上述计量特性的指标仅供参考。</w:t>
      </w:r>
    </w:p>
    <w:p w14:paraId="53954207">
      <w:pPr>
        <w:pStyle w:val="2"/>
        <w:spacing w:line="480" w:lineRule="auto"/>
        <w:ind w:firstLine="0" w:firstLineChars="0"/>
        <w:rPr>
          <w:rFonts w:eastAsia="黑体"/>
          <w:sz w:val="24"/>
          <w:szCs w:val="24"/>
        </w:rPr>
      </w:pPr>
      <w:bookmarkStart w:id="29" w:name="_Toc150424197"/>
      <w:r>
        <w:rPr>
          <w:rFonts w:hint="eastAsia" w:eastAsia="黑体"/>
          <w:sz w:val="24"/>
          <w:szCs w:val="24"/>
        </w:rPr>
        <w:t>5</w:t>
      </w:r>
      <w:r>
        <w:rPr>
          <w:rFonts w:eastAsia="黑体"/>
          <w:sz w:val="24"/>
          <w:szCs w:val="24"/>
        </w:rPr>
        <w:t xml:space="preserve">  校准条件</w:t>
      </w:r>
      <w:bookmarkEnd w:id="29"/>
    </w:p>
    <w:p w14:paraId="58C48662">
      <w:pPr>
        <w:spacing w:line="360" w:lineRule="auto"/>
        <w:rPr>
          <w:sz w:val="24"/>
          <w:szCs w:val="24"/>
        </w:rPr>
      </w:pPr>
      <w:r>
        <w:rPr>
          <w:rFonts w:hint="eastAsia"/>
          <w:sz w:val="24"/>
          <w:szCs w:val="24"/>
        </w:rPr>
        <w:t>5.1 环境条件</w:t>
      </w:r>
    </w:p>
    <w:p w14:paraId="066438B8">
      <w:pPr>
        <w:spacing w:line="360" w:lineRule="auto"/>
        <w:rPr>
          <w:sz w:val="24"/>
          <w:szCs w:val="24"/>
        </w:rPr>
      </w:pPr>
      <w:r>
        <w:rPr>
          <w:rFonts w:hint="eastAsia"/>
          <w:sz w:val="24"/>
          <w:szCs w:val="24"/>
        </w:rPr>
        <w:t>5.1.1环境温度：（15~30）℃；</w:t>
      </w:r>
    </w:p>
    <w:p w14:paraId="4DE09986">
      <w:pPr>
        <w:spacing w:line="360" w:lineRule="auto"/>
        <w:rPr>
          <w:sz w:val="24"/>
          <w:szCs w:val="24"/>
        </w:rPr>
      </w:pPr>
      <w:r>
        <w:rPr>
          <w:rFonts w:hint="eastAsia"/>
          <w:sz w:val="24"/>
          <w:szCs w:val="24"/>
        </w:rPr>
        <w:t>5.1.2相对湿度：（20~80）%；</w:t>
      </w:r>
    </w:p>
    <w:p w14:paraId="3C6E89BD">
      <w:pPr>
        <w:spacing w:line="360" w:lineRule="auto"/>
        <w:rPr>
          <w:sz w:val="24"/>
          <w:szCs w:val="24"/>
        </w:rPr>
      </w:pPr>
      <w:r>
        <w:rPr>
          <w:rFonts w:hint="eastAsia"/>
          <w:sz w:val="24"/>
          <w:szCs w:val="24"/>
        </w:rPr>
        <w:t>5.1.3实验室内没有明显的气流扰动。</w:t>
      </w:r>
    </w:p>
    <w:p w14:paraId="77A6EC40">
      <w:pPr>
        <w:spacing w:line="360" w:lineRule="auto"/>
        <w:rPr>
          <w:sz w:val="24"/>
          <w:szCs w:val="24"/>
        </w:rPr>
      </w:pPr>
      <w:r>
        <w:rPr>
          <w:rFonts w:hint="eastAsia"/>
          <w:sz w:val="24"/>
          <w:szCs w:val="24"/>
        </w:rPr>
        <w:t>5.2 校准用标准及其他设备</w:t>
      </w:r>
    </w:p>
    <w:p w14:paraId="1F7841DC">
      <w:pPr>
        <w:spacing w:line="360" w:lineRule="auto"/>
        <w:rPr>
          <w:sz w:val="24"/>
          <w:szCs w:val="24"/>
        </w:rPr>
      </w:pPr>
      <w:r>
        <w:rPr>
          <w:rFonts w:hint="eastAsia"/>
          <w:sz w:val="24"/>
          <w:szCs w:val="24"/>
        </w:rPr>
        <w:t>校准用设备应经过计量技术机构检定或校准合格，并在有效期内。</w:t>
      </w:r>
    </w:p>
    <w:p w14:paraId="59C25639">
      <w:pPr>
        <w:spacing w:line="360" w:lineRule="auto"/>
        <w:rPr>
          <w:sz w:val="24"/>
          <w:szCs w:val="24"/>
        </w:rPr>
      </w:pPr>
      <w:r>
        <w:rPr>
          <w:rFonts w:hint="eastAsia"/>
          <w:sz w:val="24"/>
          <w:szCs w:val="24"/>
        </w:rPr>
        <w:t>5.2.1</w:t>
      </w:r>
      <w:bookmarkStart w:id="30" w:name="_Hlk196816780"/>
      <w:r>
        <w:rPr>
          <w:rFonts w:hint="eastAsia"/>
          <w:sz w:val="24"/>
          <w:szCs w:val="24"/>
        </w:rPr>
        <w:t>标准滤光片：透光率标称值为2</w:t>
      </w:r>
      <w:r>
        <w:rPr>
          <w:sz w:val="24"/>
          <w:szCs w:val="24"/>
        </w:rPr>
        <w:t>5</w:t>
      </w:r>
      <w:r>
        <w:rPr>
          <w:rFonts w:hint="eastAsia"/>
          <w:sz w:val="24"/>
          <w:szCs w:val="24"/>
        </w:rPr>
        <w:t>%、50%、</w:t>
      </w:r>
      <w:r>
        <w:rPr>
          <w:sz w:val="24"/>
          <w:szCs w:val="24"/>
        </w:rPr>
        <w:t>75</w:t>
      </w:r>
      <w:r>
        <w:rPr>
          <w:rFonts w:hint="eastAsia"/>
          <w:sz w:val="24"/>
          <w:szCs w:val="24"/>
        </w:rPr>
        <w:t>%左右的滤光片，相对不确定度优于0</w:t>
      </w:r>
      <w:r>
        <w:rPr>
          <w:sz w:val="24"/>
          <w:szCs w:val="24"/>
        </w:rPr>
        <w:t>.5</w:t>
      </w:r>
      <w:r>
        <w:rPr>
          <w:rFonts w:hint="eastAsia"/>
          <w:sz w:val="24"/>
          <w:szCs w:val="24"/>
        </w:rPr>
        <w:t>%</w:t>
      </w:r>
      <w:bookmarkEnd w:id="30"/>
      <w:r>
        <w:rPr>
          <w:rFonts w:hint="eastAsia"/>
          <w:sz w:val="24"/>
          <w:szCs w:val="24"/>
        </w:rPr>
        <w:t>。</w:t>
      </w:r>
    </w:p>
    <w:p w14:paraId="56DD1AD2">
      <w:pPr>
        <w:spacing w:line="360" w:lineRule="auto"/>
        <w:rPr>
          <w:sz w:val="24"/>
          <w:szCs w:val="24"/>
        </w:rPr>
      </w:pPr>
      <w:r>
        <w:rPr>
          <w:rFonts w:hint="eastAsia"/>
          <w:sz w:val="24"/>
          <w:szCs w:val="24"/>
        </w:rPr>
        <w:t>5.2.2</w:t>
      </w:r>
      <w:bookmarkStart w:id="31" w:name="_Hlk196816790"/>
      <w:r>
        <w:rPr>
          <w:rFonts w:hint="eastAsia"/>
          <w:sz w:val="24"/>
          <w:szCs w:val="24"/>
        </w:rPr>
        <w:t>标准辐射热计：测量范围为（10~50）kW/m</w:t>
      </w:r>
      <w:r>
        <w:rPr>
          <w:rFonts w:hint="eastAsia"/>
          <w:sz w:val="24"/>
          <w:szCs w:val="24"/>
          <w:vertAlign w:val="superscript"/>
        </w:rPr>
        <w:t>2</w:t>
      </w:r>
      <w:r>
        <w:rPr>
          <w:rFonts w:hint="eastAsia"/>
          <w:sz w:val="24"/>
          <w:szCs w:val="24"/>
        </w:rPr>
        <w:t>，相对不确定度不大于3%（</w:t>
      </w:r>
      <w:r>
        <w:rPr>
          <w:rFonts w:hint="eastAsia"/>
          <w:i/>
          <w:iCs/>
          <w:sz w:val="24"/>
          <w:szCs w:val="24"/>
        </w:rPr>
        <w:t>k</w:t>
      </w:r>
      <w:r>
        <w:rPr>
          <w:rFonts w:hint="eastAsia"/>
          <w:sz w:val="24"/>
          <w:szCs w:val="24"/>
        </w:rPr>
        <w:t>=2）</w:t>
      </w:r>
      <w:bookmarkEnd w:id="31"/>
      <w:r>
        <w:rPr>
          <w:rFonts w:hint="eastAsia"/>
          <w:sz w:val="24"/>
          <w:szCs w:val="24"/>
        </w:rPr>
        <w:t>。5.2.</w:t>
      </w:r>
      <w:r>
        <w:rPr>
          <w:sz w:val="24"/>
          <w:szCs w:val="24"/>
        </w:rPr>
        <w:t>3</w:t>
      </w:r>
      <w:bookmarkStart w:id="32" w:name="_Hlk196816798"/>
      <w:r>
        <w:rPr>
          <w:rFonts w:hint="eastAsia"/>
          <w:sz w:val="24"/>
          <w:szCs w:val="24"/>
        </w:rPr>
        <w:t>烟密度标准物质：无焰燃烧标准物质纤维素，有焰燃烧标准物质ABS，比光密度相对不确定度不大于5%（</w:t>
      </w:r>
      <w:r>
        <w:rPr>
          <w:rFonts w:hint="eastAsia"/>
          <w:i/>
          <w:iCs/>
          <w:sz w:val="24"/>
          <w:szCs w:val="24"/>
        </w:rPr>
        <w:t>k</w:t>
      </w:r>
      <w:r>
        <w:rPr>
          <w:rFonts w:hint="eastAsia"/>
          <w:sz w:val="24"/>
          <w:szCs w:val="24"/>
        </w:rPr>
        <w:t>=</w:t>
      </w:r>
      <w:r>
        <w:rPr>
          <w:sz w:val="24"/>
          <w:szCs w:val="24"/>
        </w:rPr>
        <w:t>2</w:t>
      </w:r>
      <w:r>
        <w:rPr>
          <w:rFonts w:hint="eastAsia"/>
          <w:sz w:val="24"/>
          <w:szCs w:val="24"/>
        </w:rPr>
        <w:t>）</w:t>
      </w:r>
      <w:bookmarkEnd w:id="32"/>
      <w:r>
        <w:rPr>
          <w:rFonts w:hint="eastAsia"/>
          <w:sz w:val="24"/>
          <w:szCs w:val="24"/>
        </w:rPr>
        <w:t>。</w:t>
      </w:r>
    </w:p>
    <w:p w14:paraId="4831561E">
      <w:pPr>
        <w:pStyle w:val="2"/>
        <w:spacing w:line="480" w:lineRule="auto"/>
        <w:ind w:firstLine="0" w:firstLineChars="0"/>
        <w:rPr>
          <w:rFonts w:eastAsia="黑体"/>
          <w:sz w:val="24"/>
          <w:szCs w:val="24"/>
        </w:rPr>
      </w:pPr>
      <w:bookmarkStart w:id="33" w:name="_Toc150424198"/>
      <w:r>
        <w:rPr>
          <w:rFonts w:eastAsia="黑体"/>
          <w:sz w:val="24"/>
          <w:szCs w:val="24"/>
        </w:rPr>
        <w:t>6</w:t>
      </w:r>
      <w:r>
        <w:rPr>
          <w:rFonts w:hint="eastAsia" w:eastAsia="黑体"/>
          <w:sz w:val="24"/>
          <w:szCs w:val="24"/>
        </w:rPr>
        <w:t xml:space="preserve">  校准项目和校准方法</w:t>
      </w:r>
      <w:bookmarkEnd w:id="33"/>
    </w:p>
    <w:p w14:paraId="04918508">
      <w:pPr>
        <w:spacing w:line="360" w:lineRule="auto"/>
        <w:ind w:firstLine="480" w:firstLineChars="200"/>
        <w:rPr>
          <w:rFonts w:hint="eastAsia" w:hAnsi="宋体"/>
          <w:sz w:val="24"/>
          <w:szCs w:val="24"/>
        </w:rPr>
      </w:pPr>
      <w:r>
        <w:rPr>
          <w:rFonts w:hint="eastAsia" w:hAnsi="宋体"/>
          <w:sz w:val="24"/>
          <w:szCs w:val="24"/>
        </w:rPr>
        <w:t>校准前，确保仪器处于正常的工作状态及没有影响校准计量性能的因素，然后方可进行校准。</w:t>
      </w:r>
      <w:bookmarkStart w:id="34" w:name="_Hlk530385425"/>
    </w:p>
    <w:bookmarkEnd w:id="34"/>
    <w:p w14:paraId="27C19B16">
      <w:pPr>
        <w:spacing w:line="360" w:lineRule="auto"/>
        <w:rPr>
          <w:rFonts w:hint="eastAsia" w:hAnsi="宋体"/>
          <w:sz w:val="24"/>
          <w:szCs w:val="24"/>
        </w:rPr>
      </w:pPr>
      <w:r>
        <w:rPr>
          <w:rFonts w:hint="eastAsia" w:hAnsi="宋体"/>
          <w:sz w:val="24"/>
          <w:szCs w:val="24"/>
        </w:rPr>
        <w:t>6</w:t>
      </w:r>
      <w:r>
        <w:rPr>
          <w:rFonts w:hAnsi="宋体"/>
          <w:sz w:val="24"/>
          <w:szCs w:val="24"/>
        </w:rPr>
        <w:t xml:space="preserve">.1 </w:t>
      </w:r>
      <w:bookmarkStart w:id="35" w:name="_Hlk196816894"/>
      <w:r>
        <w:rPr>
          <w:rFonts w:hint="eastAsia" w:hAnsi="宋体"/>
          <w:sz w:val="24"/>
          <w:szCs w:val="24"/>
        </w:rPr>
        <w:t>透光率示值误差和重复性</w:t>
      </w:r>
      <w:bookmarkEnd w:id="35"/>
    </w:p>
    <w:p w14:paraId="49675AD5">
      <w:pPr>
        <w:spacing w:line="360" w:lineRule="auto"/>
        <w:rPr>
          <w:rFonts w:hint="eastAsia" w:hAnsi="宋体"/>
          <w:sz w:val="24"/>
          <w:szCs w:val="24"/>
        </w:rPr>
      </w:pPr>
      <w:r>
        <w:rPr>
          <w:rFonts w:hint="eastAsia" w:hAnsi="宋体"/>
          <w:sz w:val="24"/>
          <w:szCs w:val="24"/>
        </w:rPr>
        <w:t>6</w:t>
      </w:r>
      <w:r>
        <w:rPr>
          <w:rFonts w:hAnsi="宋体"/>
          <w:sz w:val="24"/>
          <w:szCs w:val="24"/>
        </w:rPr>
        <w:t xml:space="preserve">.1.1 </w:t>
      </w:r>
      <w:bookmarkStart w:id="36" w:name="_Hlk196816918"/>
      <w:r>
        <w:rPr>
          <w:rFonts w:hint="eastAsia" w:hAnsi="宋体"/>
          <w:sz w:val="24"/>
          <w:szCs w:val="24"/>
        </w:rPr>
        <w:t>将不透明圆板（其中心有一直径51mm环形标记）与上光窗贴在一起，其环形标记的中心与光窗的中心重合。打开光源，调节圆板上的灯丝投影，使其充满环形标记，环外没有光线。</w:t>
      </w:r>
    </w:p>
    <w:p w14:paraId="2EE74D38">
      <w:pPr>
        <w:spacing w:line="360" w:lineRule="auto"/>
        <w:rPr>
          <w:rFonts w:hint="eastAsia" w:hAnsi="宋体"/>
          <w:sz w:val="24"/>
          <w:szCs w:val="24"/>
        </w:rPr>
      </w:pPr>
      <w:r>
        <w:rPr>
          <w:rFonts w:hint="eastAsia" w:hAnsi="宋体"/>
          <w:sz w:val="24"/>
          <w:szCs w:val="24"/>
        </w:rPr>
        <w:t>6</w:t>
      </w:r>
      <w:r>
        <w:rPr>
          <w:rFonts w:hAnsi="宋体"/>
          <w:sz w:val="24"/>
          <w:szCs w:val="24"/>
        </w:rPr>
        <w:t xml:space="preserve">.1.2 </w:t>
      </w:r>
      <w:r>
        <w:rPr>
          <w:rFonts w:hint="eastAsia" w:hAnsi="宋体"/>
          <w:sz w:val="24"/>
          <w:szCs w:val="24"/>
        </w:rPr>
        <w:t>关闭挡板，打开光学测量系统，将仪器量程转化到满量程0</w:t>
      </w:r>
      <w:r>
        <w:rPr>
          <w:rFonts w:hAnsi="宋体"/>
          <w:sz w:val="24"/>
          <w:szCs w:val="24"/>
        </w:rPr>
        <w:t>.1</w:t>
      </w:r>
      <w:r>
        <w:rPr>
          <w:rFonts w:hint="eastAsia" w:hAnsi="宋体"/>
          <w:sz w:val="24"/>
          <w:szCs w:val="24"/>
        </w:rPr>
        <w:t>%透光率的档位，零位调节到0%。打开挡板，使仪器档位在满量程1</w:t>
      </w:r>
      <w:r>
        <w:rPr>
          <w:rFonts w:hAnsi="宋体"/>
          <w:sz w:val="24"/>
          <w:szCs w:val="24"/>
        </w:rPr>
        <w:t>00</w:t>
      </w:r>
      <w:r>
        <w:rPr>
          <w:rFonts w:hint="eastAsia" w:hAnsi="宋体"/>
          <w:sz w:val="24"/>
          <w:szCs w:val="24"/>
        </w:rPr>
        <w:t>%透光率的档位，调节滤光器跨度，使仪器透光率读数为1</w:t>
      </w:r>
      <w:r>
        <w:rPr>
          <w:rFonts w:hAnsi="宋体"/>
          <w:sz w:val="24"/>
          <w:szCs w:val="24"/>
        </w:rPr>
        <w:t>00</w:t>
      </w:r>
      <w:r>
        <w:rPr>
          <w:rFonts w:hint="eastAsia" w:hAnsi="宋体"/>
          <w:sz w:val="24"/>
          <w:szCs w:val="24"/>
        </w:rPr>
        <w:t>%。</w:t>
      </w:r>
    </w:p>
    <w:p w14:paraId="4FF0799B">
      <w:pPr>
        <w:spacing w:line="360" w:lineRule="auto"/>
        <w:rPr>
          <w:rFonts w:hint="eastAsia" w:hAnsi="宋体"/>
          <w:sz w:val="24"/>
          <w:szCs w:val="24"/>
        </w:rPr>
      </w:pPr>
      <w:r>
        <w:rPr>
          <w:rFonts w:hint="eastAsia" w:hAnsi="宋体"/>
          <w:sz w:val="24"/>
          <w:szCs w:val="24"/>
        </w:rPr>
        <w:t>6</w:t>
      </w:r>
      <w:r>
        <w:rPr>
          <w:rFonts w:hAnsi="宋体"/>
          <w:sz w:val="24"/>
          <w:szCs w:val="24"/>
        </w:rPr>
        <w:t xml:space="preserve">.1.3 </w:t>
      </w:r>
      <w:r>
        <w:rPr>
          <w:rFonts w:hint="eastAsia" w:hAnsi="宋体"/>
          <w:sz w:val="24"/>
          <w:szCs w:val="24"/>
        </w:rPr>
        <w:t>仪器调整到正常工作状态，测量透光率标称值为2</w:t>
      </w:r>
      <w:r>
        <w:rPr>
          <w:rFonts w:hAnsi="宋体"/>
          <w:sz w:val="24"/>
          <w:szCs w:val="24"/>
        </w:rPr>
        <w:t>5</w:t>
      </w:r>
      <w:r>
        <w:rPr>
          <w:rFonts w:hint="eastAsia" w:hAnsi="宋体"/>
          <w:sz w:val="24"/>
          <w:szCs w:val="24"/>
        </w:rPr>
        <w:t>%，50%，</w:t>
      </w:r>
      <w:r>
        <w:rPr>
          <w:rFonts w:hAnsi="宋体"/>
          <w:sz w:val="24"/>
          <w:szCs w:val="24"/>
        </w:rPr>
        <w:t>75</w:t>
      </w:r>
      <w:r>
        <w:rPr>
          <w:rFonts w:hint="eastAsia" w:hAnsi="宋体"/>
          <w:sz w:val="24"/>
          <w:szCs w:val="24"/>
        </w:rPr>
        <w:t>%左右的标准滤光片透光率，连续测量3次，取平均值为测量值，按式（1）计算透光率示值误差。</w:t>
      </w:r>
    </w:p>
    <w:p w14:paraId="7DBB292B">
      <w:pPr>
        <w:spacing w:line="360" w:lineRule="auto"/>
        <w:jc w:val="right"/>
        <w:rPr>
          <w:rFonts w:hint="eastAsia" w:hAnsi="宋体"/>
          <w:sz w:val="24"/>
          <w:szCs w:val="24"/>
        </w:rPr>
      </w:pPr>
      <m:oMath>
        <m:r>
          <m:rPr/>
          <w:rPr>
            <w:rFonts w:ascii="Cambria Math" w:hAnsi="Cambria Math"/>
            <w:sz w:val="24"/>
            <w:szCs w:val="24"/>
          </w:rPr>
          <m:t>∆t=</m:t>
        </m:r>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acc>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s</m:t>
            </m:r>
            <m:ctrlPr>
              <w:rPr>
                <w:rFonts w:ascii="Cambria Math" w:hAnsi="Cambria Math"/>
                <w:i/>
                <w:sz w:val="24"/>
                <w:szCs w:val="24"/>
              </w:rPr>
            </m:ctrlPr>
          </m:sub>
        </m:sSub>
      </m:oMath>
      <w:r>
        <w:rPr>
          <w:rFonts w:hint="eastAsia" w:hAnsi="宋体"/>
          <w:sz w:val="24"/>
          <w:szCs w:val="24"/>
        </w:rPr>
        <w:t xml:space="preserve"> </w:t>
      </w:r>
      <w:r>
        <w:rPr>
          <w:rFonts w:hAnsi="宋体"/>
          <w:sz w:val="24"/>
          <w:szCs w:val="24"/>
        </w:rPr>
        <w:t xml:space="preserve">                                            </w:t>
      </w:r>
      <w:r>
        <w:rPr>
          <w:rFonts w:hint="eastAsia" w:hAnsi="宋体"/>
          <w:sz w:val="24"/>
          <w:szCs w:val="24"/>
        </w:rPr>
        <w:t>（1）</w:t>
      </w:r>
    </w:p>
    <w:p w14:paraId="6EE1FC01">
      <w:pPr>
        <w:spacing w:line="360" w:lineRule="auto"/>
        <w:ind w:firstLine="480" w:firstLineChars="200"/>
        <w:rPr>
          <w:rFonts w:hint="eastAsia" w:hAnsi="宋体"/>
          <w:sz w:val="24"/>
          <w:szCs w:val="24"/>
        </w:rPr>
      </w:pPr>
      <w:r>
        <w:rPr>
          <w:rFonts w:hint="eastAsia" w:hAnsi="宋体"/>
          <w:sz w:val="24"/>
          <w:szCs w:val="24"/>
        </w:rPr>
        <w:t>式中：</w:t>
      </w:r>
    </w:p>
    <w:p w14:paraId="1D3B24BA">
      <w:pPr>
        <w:spacing w:line="360" w:lineRule="auto"/>
        <w:ind w:firstLine="480" w:firstLineChars="200"/>
        <w:rPr>
          <w:rFonts w:hint="eastAsia" w:hAnsi="宋体"/>
          <w:sz w:val="24"/>
          <w:szCs w:val="24"/>
        </w:rPr>
      </w:pPr>
      <m:oMath>
        <m:r>
          <m:rPr/>
          <w:rPr>
            <w:rFonts w:ascii="Cambria Math" w:hAnsi="Cambria Math"/>
            <w:sz w:val="24"/>
            <w:szCs w:val="24"/>
          </w:rPr>
          <m:t>∆t</m:t>
        </m:r>
      </m:oMath>
      <w:r>
        <w:rPr>
          <w:rFonts w:hint="eastAsia" w:hAnsi="宋体"/>
          <w:sz w:val="24"/>
          <w:szCs w:val="24"/>
        </w:rPr>
        <w:t>——透光率示值误差，%；</w:t>
      </w:r>
    </w:p>
    <w:p w14:paraId="7F96D222">
      <w:pPr>
        <w:spacing w:line="360" w:lineRule="auto"/>
        <w:ind w:firstLine="480" w:firstLineChars="200"/>
        <w:rPr>
          <w:rFonts w:hint="eastAsia" w:hAnsi="宋体"/>
          <w:sz w:val="24"/>
          <w:szCs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acc>
      </m:oMath>
      <w:r>
        <w:rPr>
          <w:rFonts w:hint="eastAsia" w:hAnsi="宋体"/>
          <w:sz w:val="24"/>
          <w:szCs w:val="24"/>
        </w:rPr>
        <w:t>——透光率3次测量值平均值，%；</w:t>
      </w:r>
    </w:p>
    <w:p w14:paraId="19CB5858">
      <w:pPr>
        <w:spacing w:line="360" w:lineRule="auto"/>
        <w:ind w:firstLine="480" w:firstLineChars="200"/>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s</m:t>
            </m:r>
            <m:ctrlPr>
              <w:rPr>
                <w:rFonts w:ascii="Cambria Math" w:hAnsi="Cambria Math"/>
                <w:i/>
                <w:sz w:val="24"/>
                <w:szCs w:val="24"/>
              </w:rPr>
            </m:ctrlPr>
          </m:sub>
        </m:sSub>
      </m:oMath>
      <w:r>
        <w:rPr>
          <w:rFonts w:hint="eastAsia" w:hAnsi="宋体"/>
          <w:sz w:val="24"/>
          <w:szCs w:val="24"/>
        </w:rPr>
        <w:t>——透光率标准值，%。</w:t>
      </w:r>
    </w:p>
    <w:p w14:paraId="3B11EE5F">
      <w:pPr>
        <w:spacing w:line="360" w:lineRule="auto"/>
        <w:rPr>
          <w:rFonts w:hint="eastAsia" w:hAnsi="宋体"/>
          <w:sz w:val="24"/>
          <w:szCs w:val="24"/>
        </w:rPr>
      </w:pPr>
      <w:r>
        <w:rPr>
          <w:rFonts w:hint="eastAsia" w:hAnsi="宋体"/>
          <w:sz w:val="24"/>
          <w:szCs w:val="24"/>
        </w:rPr>
        <w:t>按式（2）计算透光率重复性。</w:t>
      </w:r>
    </w:p>
    <w:p w14:paraId="1235562E">
      <w:pPr>
        <w:spacing w:line="360" w:lineRule="auto"/>
        <w:jc w:val="right"/>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δ</m:t>
            </m:r>
            <m:ctrlPr>
              <w:rPr>
                <w:rFonts w:ascii="Cambria Math" w:hAnsi="Cambria Math"/>
                <w:i/>
                <w:sz w:val="24"/>
                <w:szCs w:val="24"/>
              </w:rPr>
            </m:ctrlPr>
          </m:e>
          <m:sub>
            <m:r>
              <m:rPr/>
              <w:rPr>
                <w:rFonts w:ascii="Cambria Math" w:hAnsi="Cambria Math"/>
                <w:sz w:val="24"/>
                <w:szCs w:val="24"/>
              </w:rPr>
              <m:t>t</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r>
                  <m:rPr/>
                  <w:rPr>
                    <w:rFonts w:ascii="Cambria Math"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t</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acc>
                <m:ctrlPr>
                  <w:rPr>
                    <w:rFonts w:ascii="Cambria Math" w:hAnsi="Cambria Math"/>
                    <w:i/>
                    <w:sz w:val="24"/>
                    <w:szCs w:val="24"/>
                  </w:rPr>
                </m:ctrlPr>
              </m:e>
            </m:d>
            <m:ctrlPr>
              <w:rPr>
                <w:rFonts w:ascii="Cambria Math" w:hAnsi="Cambria Math"/>
                <w:i/>
                <w:sz w:val="24"/>
                <w:szCs w:val="24"/>
              </w:rPr>
            </m:ctrlPr>
          </m:e>
          <m:sub>
            <m:r>
              <m:rPr/>
              <w:rPr>
                <w:rFonts w:ascii="Cambria Math" w:hAnsi="Cambria Math"/>
                <w:sz w:val="24"/>
                <w:szCs w:val="24"/>
              </w:rPr>
              <m:t>max</m:t>
            </m:r>
            <m:ctrlPr>
              <w:rPr>
                <w:rFonts w:ascii="Cambria Math" w:hAnsi="Cambria Math"/>
                <w:i/>
                <w:sz w:val="24"/>
                <w:szCs w:val="24"/>
              </w:rPr>
            </m:ctrlPr>
          </m:sub>
        </m:sSub>
      </m:oMath>
      <w:r>
        <w:rPr>
          <w:rFonts w:hint="eastAsia" w:hAnsi="宋体"/>
          <w:sz w:val="24"/>
          <w:szCs w:val="24"/>
        </w:rPr>
        <w:t xml:space="preserve"> </w:t>
      </w:r>
      <w:r>
        <w:rPr>
          <w:rFonts w:hAnsi="宋体"/>
          <w:sz w:val="24"/>
          <w:szCs w:val="24"/>
        </w:rPr>
        <w:t xml:space="preserve">                                        </w:t>
      </w:r>
      <w:r>
        <w:rPr>
          <w:rFonts w:hint="eastAsia" w:hAnsi="宋体"/>
          <w:sz w:val="24"/>
          <w:szCs w:val="24"/>
        </w:rPr>
        <w:t>（2）</w:t>
      </w:r>
    </w:p>
    <w:p w14:paraId="564D21EB">
      <w:pPr>
        <w:spacing w:line="360" w:lineRule="auto"/>
        <w:ind w:right="240" w:firstLine="480" w:firstLineChars="200"/>
        <w:jc w:val="left"/>
        <w:rPr>
          <w:rFonts w:hint="eastAsia" w:hAnsi="宋体"/>
          <w:sz w:val="24"/>
          <w:szCs w:val="24"/>
        </w:rPr>
      </w:pPr>
      <w:r>
        <w:rPr>
          <w:rFonts w:hint="eastAsia" w:hAnsi="宋体"/>
          <w:sz w:val="24"/>
          <w:szCs w:val="24"/>
        </w:rPr>
        <w:t>式中：</w:t>
      </w:r>
    </w:p>
    <w:p w14:paraId="7929772C">
      <w:pPr>
        <w:spacing w:line="360" w:lineRule="auto"/>
        <w:ind w:right="240" w:firstLine="480" w:firstLineChars="200"/>
        <w:jc w:val="left"/>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δ</m:t>
            </m:r>
            <m:ctrlPr>
              <w:rPr>
                <w:rFonts w:ascii="Cambria Math" w:hAnsi="Cambria Math"/>
                <w:i/>
                <w:sz w:val="24"/>
                <w:szCs w:val="24"/>
              </w:rPr>
            </m:ctrlPr>
          </m:e>
          <m:sub>
            <m:r>
              <m:rPr/>
              <w:rPr>
                <w:rFonts w:ascii="Cambria Math" w:hAnsi="Cambria Math"/>
                <w:sz w:val="24"/>
                <w:szCs w:val="24"/>
              </w:rPr>
              <m:t>t</m:t>
            </m:r>
            <m:ctrlPr>
              <w:rPr>
                <w:rFonts w:ascii="Cambria Math" w:hAnsi="Cambria Math"/>
                <w:i/>
                <w:sz w:val="24"/>
                <w:szCs w:val="24"/>
              </w:rPr>
            </m:ctrlPr>
          </m:sub>
        </m:sSub>
      </m:oMath>
      <w:r>
        <w:rPr>
          <w:rFonts w:hint="eastAsia" w:hAnsi="宋体"/>
          <w:sz w:val="24"/>
          <w:szCs w:val="24"/>
        </w:rPr>
        <w:t>——透光率重复性，%；</w:t>
      </w:r>
    </w:p>
    <w:p w14:paraId="0D0F5DA1">
      <w:pPr>
        <w:spacing w:line="360" w:lineRule="auto"/>
        <w:ind w:right="240" w:firstLine="480" w:firstLineChars="200"/>
        <w:jc w:val="left"/>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oMath>
      <w:r>
        <w:rPr>
          <w:rFonts w:hint="eastAsia" w:hAnsi="宋体"/>
          <w:sz w:val="24"/>
          <w:szCs w:val="24"/>
        </w:rPr>
        <w:t>——透光率第</w:t>
      </w:r>
      <w:r>
        <w:rPr>
          <w:rFonts w:hint="eastAsia" w:hAnsi="宋体"/>
          <w:i/>
          <w:iCs/>
          <w:sz w:val="24"/>
          <w:szCs w:val="24"/>
        </w:rPr>
        <w:t>i</w:t>
      </w:r>
      <w:r>
        <w:rPr>
          <w:rFonts w:hint="eastAsia" w:hAnsi="宋体"/>
          <w:sz w:val="24"/>
          <w:szCs w:val="24"/>
        </w:rPr>
        <w:t>次测量值，%。</w:t>
      </w:r>
    </w:p>
    <w:bookmarkEnd w:id="36"/>
    <w:p w14:paraId="64700269">
      <w:pPr>
        <w:spacing w:line="360" w:lineRule="auto"/>
        <w:rPr>
          <w:rFonts w:hint="eastAsia" w:hAnsi="宋体"/>
          <w:sz w:val="24"/>
          <w:szCs w:val="24"/>
        </w:rPr>
      </w:pPr>
      <w:bookmarkStart w:id="37" w:name="_Hlk150359289"/>
      <w:r>
        <w:rPr>
          <w:rFonts w:hAnsi="宋体"/>
          <w:sz w:val="24"/>
          <w:szCs w:val="24"/>
        </w:rPr>
        <w:t xml:space="preserve">6.2 </w:t>
      </w:r>
      <w:r>
        <w:rPr>
          <w:rFonts w:hint="eastAsia" w:hAnsi="宋体"/>
          <w:sz w:val="24"/>
          <w:szCs w:val="24"/>
        </w:rPr>
        <w:t>辐射照度示值误差</w:t>
      </w:r>
    </w:p>
    <w:bookmarkEnd w:id="37"/>
    <w:p w14:paraId="3819506F">
      <w:pPr>
        <w:spacing w:line="360" w:lineRule="auto"/>
        <w:ind w:firstLine="480" w:firstLineChars="200"/>
        <w:rPr>
          <w:rFonts w:hint="eastAsia" w:hAnsi="宋体"/>
          <w:sz w:val="24"/>
          <w:szCs w:val="24"/>
        </w:rPr>
      </w:pPr>
      <w:bookmarkStart w:id="38" w:name="_Hlk196826240"/>
      <w:r>
        <w:rPr>
          <w:rFonts w:hAnsi="宋体"/>
          <w:sz w:val="24"/>
          <w:szCs w:val="24"/>
        </w:rPr>
        <w:t>辐射照度校准</w:t>
      </w:r>
      <w:r>
        <w:rPr>
          <w:sz w:val="24"/>
          <w:szCs w:val="24"/>
        </w:rPr>
        <w:t>点</w:t>
      </w:r>
      <w:r>
        <w:rPr>
          <w:rFonts w:hint="eastAsia"/>
          <w:sz w:val="24"/>
          <w:szCs w:val="24"/>
        </w:rPr>
        <w:t>一般选取</w:t>
      </w:r>
      <w:r>
        <w:rPr>
          <w:sz w:val="24"/>
          <w:szCs w:val="24"/>
        </w:rPr>
        <w:t>25kW/m</w:t>
      </w:r>
      <w:r>
        <w:rPr>
          <w:sz w:val="24"/>
          <w:szCs w:val="24"/>
          <w:vertAlign w:val="superscript"/>
        </w:rPr>
        <w:t>2</w:t>
      </w:r>
      <w:r>
        <w:rPr>
          <w:sz w:val="24"/>
          <w:szCs w:val="24"/>
        </w:rPr>
        <w:t>和50kW/m</w:t>
      </w:r>
      <w:r>
        <w:rPr>
          <w:sz w:val="24"/>
          <w:szCs w:val="24"/>
          <w:vertAlign w:val="superscript"/>
        </w:rPr>
        <w:t>2</w:t>
      </w:r>
      <w:r>
        <w:rPr>
          <w:sz w:val="24"/>
          <w:szCs w:val="24"/>
        </w:rPr>
        <w:t>，</w:t>
      </w:r>
      <w:r>
        <w:rPr>
          <w:rFonts w:hint="eastAsia"/>
          <w:sz w:val="24"/>
          <w:szCs w:val="24"/>
        </w:rPr>
        <w:t>可</w:t>
      </w:r>
      <w:r>
        <w:rPr>
          <w:sz w:val="24"/>
          <w:szCs w:val="24"/>
        </w:rPr>
        <w:t>根据</w:t>
      </w:r>
      <w:r>
        <w:rPr>
          <w:rFonts w:hint="eastAsia"/>
          <w:sz w:val="24"/>
          <w:szCs w:val="24"/>
        </w:rPr>
        <w:t>用户要求</w:t>
      </w:r>
      <w:r>
        <w:rPr>
          <w:sz w:val="24"/>
          <w:szCs w:val="24"/>
        </w:rPr>
        <w:t>增加校准点</w:t>
      </w:r>
      <w:r>
        <w:rPr>
          <w:rFonts w:hAnsi="宋体"/>
          <w:sz w:val="24"/>
          <w:szCs w:val="24"/>
        </w:rPr>
        <w:t>。</w:t>
      </w:r>
    </w:p>
    <w:p w14:paraId="3E2F8771">
      <w:pPr>
        <w:spacing w:line="360" w:lineRule="auto"/>
        <w:ind w:firstLine="480" w:firstLineChars="200"/>
        <w:rPr>
          <w:sz w:val="24"/>
          <w:szCs w:val="24"/>
        </w:rPr>
      </w:pPr>
      <w:r>
        <w:rPr>
          <w:rFonts w:hint="eastAsia" w:hAnsi="宋体"/>
          <w:sz w:val="24"/>
          <w:szCs w:val="24"/>
        </w:rPr>
        <w:t>分别</w:t>
      </w:r>
      <w:r>
        <w:rPr>
          <w:rFonts w:hAnsi="宋体"/>
          <w:sz w:val="24"/>
          <w:szCs w:val="24"/>
        </w:rPr>
        <w:t>调节标准辐射热计和</w:t>
      </w:r>
      <w:r>
        <w:rPr>
          <w:rFonts w:hint="eastAsia" w:hAnsi="宋体"/>
          <w:sz w:val="24"/>
          <w:szCs w:val="24"/>
        </w:rPr>
        <w:t>仪器</w:t>
      </w:r>
      <w:r>
        <w:rPr>
          <w:rFonts w:hAnsi="宋体"/>
          <w:sz w:val="24"/>
          <w:szCs w:val="24"/>
        </w:rPr>
        <w:t>辐射热计与辐射锥下表面的距离为</w:t>
      </w:r>
      <w:r>
        <w:rPr>
          <w:sz w:val="24"/>
          <w:szCs w:val="24"/>
        </w:rPr>
        <w:t>25mm</w:t>
      </w:r>
      <w:r>
        <w:rPr>
          <w:rFonts w:hAnsi="宋体"/>
          <w:sz w:val="24"/>
          <w:szCs w:val="24"/>
        </w:rPr>
        <w:t>，使辐射热计处于辐射锥</w:t>
      </w:r>
      <w:r>
        <w:rPr>
          <w:rFonts w:hint="eastAsia" w:hAnsi="宋体"/>
          <w:sz w:val="24"/>
          <w:szCs w:val="24"/>
        </w:rPr>
        <w:t>下方</w:t>
      </w:r>
      <w:r>
        <w:rPr>
          <w:rFonts w:hAnsi="宋体"/>
          <w:sz w:val="24"/>
          <w:szCs w:val="24"/>
        </w:rPr>
        <w:t>中心位置</w:t>
      </w:r>
      <w:r>
        <w:rPr>
          <w:rFonts w:hint="eastAsia" w:hAnsi="宋体"/>
          <w:sz w:val="24"/>
          <w:szCs w:val="24"/>
        </w:rPr>
        <w:t>，</w:t>
      </w:r>
      <w:r>
        <w:rPr>
          <w:rFonts w:hAnsi="宋体"/>
          <w:sz w:val="24"/>
          <w:szCs w:val="24"/>
        </w:rPr>
        <w:t>并与</w:t>
      </w:r>
      <w:r>
        <w:rPr>
          <w:rFonts w:hint="eastAsia" w:hAnsi="宋体"/>
          <w:sz w:val="24"/>
          <w:szCs w:val="24"/>
        </w:rPr>
        <w:t>辐射锥</w:t>
      </w:r>
      <w:r>
        <w:rPr>
          <w:rFonts w:hAnsi="宋体"/>
          <w:sz w:val="24"/>
          <w:szCs w:val="24"/>
        </w:rPr>
        <w:t>下表面平行。</w:t>
      </w:r>
      <w:r>
        <w:rPr>
          <w:rFonts w:hint="eastAsia" w:hAnsi="宋体"/>
          <w:sz w:val="24"/>
          <w:szCs w:val="24"/>
        </w:rPr>
        <w:t>辐射热计</w:t>
      </w:r>
      <w:r>
        <w:rPr>
          <w:rFonts w:hAnsi="宋体"/>
          <w:sz w:val="24"/>
          <w:szCs w:val="24"/>
        </w:rPr>
        <w:t>通冷却水，确保水流通畅。开启辐射锥</w:t>
      </w:r>
      <w:r>
        <w:rPr>
          <w:rFonts w:hint="eastAsia" w:hAnsi="宋体"/>
          <w:sz w:val="24"/>
        </w:rPr>
        <w:t>并</w:t>
      </w:r>
      <w:r>
        <w:rPr>
          <w:rFonts w:hAnsi="宋体"/>
          <w:sz w:val="24"/>
          <w:szCs w:val="24"/>
        </w:rPr>
        <w:t>设置温度</w:t>
      </w:r>
      <w:r>
        <w:rPr>
          <w:rFonts w:hint="eastAsia" w:hAnsi="宋体"/>
          <w:sz w:val="24"/>
        </w:rPr>
        <w:t>升温</w:t>
      </w:r>
      <w:r>
        <w:rPr>
          <w:rFonts w:hAnsi="宋体"/>
          <w:sz w:val="24"/>
          <w:szCs w:val="24"/>
        </w:rPr>
        <w:t>至</w:t>
      </w:r>
      <w:r>
        <w:rPr>
          <w:rFonts w:hint="eastAsia" w:hAnsi="宋体"/>
          <w:sz w:val="24"/>
        </w:rPr>
        <w:t>目标</w:t>
      </w:r>
      <w:r>
        <w:rPr>
          <w:rFonts w:hAnsi="宋体"/>
          <w:sz w:val="24"/>
          <w:szCs w:val="24"/>
        </w:rPr>
        <w:t>辐射照度</w:t>
      </w:r>
      <w:r>
        <w:rPr>
          <w:rFonts w:hint="eastAsia" w:hAnsi="宋体"/>
          <w:sz w:val="24"/>
        </w:rPr>
        <w:t>所需温度</w:t>
      </w:r>
      <w:r>
        <w:rPr>
          <w:rFonts w:hAnsi="宋体"/>
          <w:sz w:val="24"/>
          <w:szCs w:val="24"/>
        </w:rPr>
        <w:t>，稳定</w:t>
      </w:r>
      <w:r>
        <w:rPr>
          <w:sz w:val="24"/>
          <w:szCs w:val="24"/>
        </w:rPr>
        <w:t>10min</w:t>
      </w:r>
      <w:r>
        <w:rPr>
          <w:rFonts w:hAnsi="宋体"/>
          <w:sz w:val="24"/>
          <w:szCs w:val="24"/>
        </w:rPr>
        <w:t>以上后开始</w:t>
      </w:r>
      <w:r>
        <w:rPr>
          <w:rFonts w:hint="eastAsia" w:hAnsi="宋体"/>
          <w:sz w:val="24"/>
          <w:szCs w:val="24"/>
        </w:rPr>
        <w:t>测量</w:t>
      </w:r>
      <w:r>
        <w:rPr>
          <w:rFonts w:hAnsi="宋体"/>
          <w:sz w:val="24"/>
          <w:szCs w:val="24"/>
        </w:rPr>
        <w:t>。</w:t>
      </w:r>
      <w:bookmarkStart w:id="39" w:name="_Hlk55294411"/>
      <w:r>
        <w:rPr>
          <w:rFonts w:hAnsi="宋体"/>
          <w:sz w:val="24"/>
          <w:szCs w:val="24"/>
        </w:rPr>
        <w:t>标准辐射热计</w:t>
      </w:r>
      <w:r>
        <w:rPr>
          <w:rFonts w:hint="eastAsia" w:hAnsi="宋体"/>
          <w:sz w:val="24"/>
          <w:szCs w:val="24"/>
        </w:rPr>
        <w:t>和仪器</w:t>
      </w:r>
      <w:r>
        <w:rPr>
          <w:rFonts w:hAnsi="宋体"/>
          <w:sz w:val="24"/>
          <w:szCs w:val="24"/>
        </w:rPr>
        <w:t>工作用辐射热计交替</w:t>
      </w:r>
      <w:r>
        <w:rPr>
          <w:rFonts w:hint="eastAsia" w:hAnsi="宋体"/>
          <w:sz w:val="24"/>
          <w:szCs w:val="24"/>
        </w:rPr>
        <w:t>分别</w:t>
      </w:r>
      <w:r>
        <w:rPr>
          <w:rFonts w:hAnsi="宋体"/>
          <w:sz w:val="24"/>
          <w:szCs w:val="24"/>
        </w:rPr>
        <w:t>测量</w:t>
      </w:r>
      <w:r>
        <w:rPr>
          <w:rFonts w:hint="eastAsia" w:hAnsi="宋体"/>
          <w:sz w:val="24"/>
          <w:szCs w:val="24"/>
        </w:rPr>
        <w:t>3次</w:t>
      </w:r>
      <w:r>
        <w:rPr>
          <w:rFonts w:hAnsi="宋体"/>
          <w:sz w:val="24"/>
          <w:szCs w:val="24"/>
        </w:rPr>
        <w:t>，</w:t>
      </w:r>
      <w:r>
        <w:rPr>
          <w:rFonts w:hint="eastAsia" w:hAnsi="宋体"/>
          <w:sz w:val="24"/>
          <w:szCs w:val="24"/>
        </w:rPr>
        <w:t>取各自3次测量值的算术平均值分别作为标准辐射热计的标准值</w:t>
      </w:r>
      <m:oMath>
        <m:sSub>
          <m:sSubPr>
            <m:ctrlPr>
              <w:rPr>
                <w:rFonts w:ascii="Cambria Math" w:hAnsi="Cambria Math"/>
                <w:sz w:val="24"/>
                <w:szCs w:val="24"/>
              </w:rPr>
            </m:ctrlPr>
          </m:sSubPr>
          <m:e>
            <m:acc>
              <m:accPr>
                <m:chr m:val="̅"/>
                <m:ctrlPr>
                  <w:rPr>
                    <w:rFonts w:ascii="Cambria Math" w:hAnsi="Cambria Math"/>
                    <w:sz w:val="24"/>
                    <w:szCs w:val="24"/>
                  </w:rPr>
                </m:ctrlPr>
              </m:accPr>
              <m:e>
                <m:r>
                  <m:rPr/>
                  <w:rPr>
                    <w:rFonts w:hint="eastAsia" w:ascii="Cambria Math" w:hAnsi="Cambria Math"/>
                    <w:sz w:val="24"/>
                    <w:szCs w:val="24"/>
                  </w:rPr>
                  <m:t>E</m:t>
                </m:r>
                <m:ctrlPr>
                  <w:rPr>
                    <w:rFonts w:ascii="Cambria Math" w:hAnsi="Cambria Math"/>
                    <w:sz w:val="24"/>
                    <w:szCs w:val="24"/>
                  </w:rPr>
                </m:ctrlPr>
              </m:e>
            </m:acc>
            <m:ctrlPr>
              <w:rPr>
                <w:rFonts w:ascii="Cambria Math" w:hAnsi="Cambria Math"/>
                <w:sz w:val="24"/>
                <w:szCs w:val="24"/>
              </w:rPr>
            </m:ctrlPr>
          </m:e>
          <m:sub>
            <m:r>
              <m:rPr/>
              <w:rPr>
                <w:rFonts w:hint="eastAsia" w:ascii="Cambria Math" w:hAnsi="Cambria Math"/>
                <w:sz w:val="24"/>
                <w:szCs w:val="24"/>
              </w:rPr>
              <m:t>si</m:t>
            </m:r>
            <m:ctrlPr>
              <w:rPr>
                <w:rFonts w:ascii="Cambria Math" w:hAnsi="Cambria Math"/>
                <w:sz w:val="24"/>
                <w:szCs w:val="24"/>
              </w:rPr>
            </m:ctrlPr>
          </m:sub>
        </m:sSub>
      </m:oMath>
      <w:r>
        <w:rPr>
          <w:rFonts w:hint="eastAsia" w:hAnsi="宋体"/>
          <w:sz w:val="24"/>
          <w:szCs w:val="24"/>
        </w:rPr>
        <w:t>和仪器工作用辐射热计的测量值</w:t>
      </w:r>
      <m:oMath>
        <m:sSub>
          <m:sSubPr>
            <m:ctrlPr>
              <w:rPr>
                <w:rFonts w:ascii="Cambria Math" w:hAnsi="Cambria Math"/>
                <w:i/>
                <w:sz w:val="24"/>
                <w:szCs w:val="24"/>
              </w:rPr>
            </m:ctrlPr>
          </m:sSubPr>
          <m:e>
            <m:acc>
              <m:accPr>
                <m:chr m:val="̅"/>
                <m:ctrlPr>
                  <w:rPr>
                    <w:rFonts w:ascii="Cambria Math" w:hAnsi="Cambria Math"/>
                    <w:i/>
                    <w:sz w:val="24"/>
                    <w:szCs w:val="24"/>
                  </w:rPr>
                </m:ctrlPr>
              </m:accPr>
              <m:e>
                <m:r>
                  <m:rPr/>
                  <w:rPr>
                    <w:rFonts w:hint="eastAsia" w:ascii="Cambria Math" w:hAnsi="Cambria Math"/>
                    <w:sz w:val="24"/>
                    <w:szCs w:val="24"/>
                  </w:rPr>
                  <m:t>E</m:t>
                </m:r>
                <m:ctrlPr>
                  <w:rPr>
                    <w:rFonts w:ascii="Cambria Math" w:hAnsi="Cambria Math"/>
                    <w:i/>
                    <w:sz w:val="24"/>
                    <w:szCs w:val="24"/>
                  </w:rPr>
                </m:ctrlPr>
              </m:e>
            </m:acc>
            <m:ctrlPr>
              <w:rPr>
                <w:rFonts w:ascii="Cambria Math" w:hAnsi="Cambria Math"/>
                <w:i/>
                <w:sz w:val="24"/>
                <w:szCs w:val="24"/>
              </w:rPr>
            </m:ctrlPr>
          </m:e>
          <m:sub>
            <m:r>
              <m:rPr/>
              <w:rPr>
                <w:rFonts w:hint="eastAsia" w:ascii="Cambria Math" w:hAnsi="Cambria Math"/>
                <w:sz w:val="24"/>
                <w:szCs w:val="24"/>
              </w:rPr>
              <m:t>i</m:t>
            </m:r>
            <m:ctrlPr>
              <w:rPr>
                <w:rFonts w:ascii="Cambria Math" w:hAnsi="Cambria Math"/>
                <w:i/>
                <w:sz w:val="24"/>
                <w:szCs w:val="24"/>
              </w:rPr>
            </m:ctrlPr>
          </m:sub>
        </m:sSub>
      </m:oMath>
      <w:r>
        <w:rPr>
          <w:rFonts w:hint="eastAsia" w:hAnsi="宋体"/>
          <w:sz w:val="24"/>
          <w:szCs w:val="24"/>
        </w:rPr>
        <w:t>。</w:t>
      </w:r>
      <w:bookmarkEnd w:id="39"/>
      <w:r>
        <w:rPr>
          <w:sz w:val="24"/>
          <w:szCs w:val="24"/>
        </w:rPr>
        <w:t>按式（3）计算辐射照度测量的示值</w:t>
      </w:r>
      <w:r>
        <w:rPr>
          <w:rFonts w:hint="eastAsia"/>
          <w:sz w:val="24"/>
          <w:szCs w:val="24"/>
        </w:rPr>
        <w:t>相对</w:t>
      </w:r>
      <w:r>
        <w:rPr>
          <w:sz w:val="24"/>
          <w:szCs w:val="24"/>
        </w:rPr>
        <w:t>误差</w:t>
      </w:r>
      <m:oMath>
        <m:r>
          <m:rPr>
            <m:sty m:val="p"/>
          </m:rPr>
          <w:rPr>
            <w:rFonts w:ascii="Cambria Math" w:hAnsi="Cambria Math"/>
            <w:sz w:val="24"/>
            <w:szCs w:val="24"/>
          </w:rPr>
          <m:t>∆</m:t>
        </m:r>
        <m:r>
          <m:rPr/>
          <w:rPr>
            <w:rFonts w:hint="eastAsia" w:ascii="Cambria Math" w:hAnsi="Cambria Math"/>
            <w:sz w:val="24"/>
            <w:szCs w:val="24"/>
          </w:rPr>
          <m:t>E</m:t>
        </m:r>
      </m:oMath>
      <w:r>
        <w:rPr>
          <w:sz w:val="24"/>
          <w:szCs w:val="24"/>
        </w:rPr>
        <w:t>。</w:t>
      </w:r>
      <w:bookmarkEnd w:id="38"/>
    </w:p>
    <w:p w14:paraId="406BE114">
      <w:pPr>
        <w:wordWrap w:val="0"/>
        <w:spacing w:line="360" w:lineRule="auto"/>
        <w:ind w:firstLine="480" w:firstLineChars="200"/>
        <w:jc w:val="right"/>
        <w:rPr>
          <w:sz w:val="24"/>
          <w:szCs w:val="24"/>
        </w:rPr>
      </w:pPr>
      <m:oMath>
        <w:bookmarkStart w:id="40" w:name="_Hlk55253784"/>
        <m:r>
          <m:rPr>
            <m:sty m:val="p"/>
          </m:rPr>
          <w:rPr>
            <w:rFonts w:ascii="Cambria Math" w:hAnsi="Cambria Math"/>
            <w:sz w:val="24"/>
            <w:szCs w:val="24"/>
          </w:rPr>
          <m:t>∆</m:t>
        </m:r>
        <m:r>
          <m:rPr/>
          <w:rPr>
            <w:rFonts w:hint="eastAsia" w:ascii="Cambria Math" w:hAnsi="Cambria Math"/>
            <w:sz w:val="24"/>
            <w:szCs w:val="24"/>
          </w:rPr>
          <m:t>E</m:t>
        </m:r>
        <m:r>
          <m:rPr>
            <m:sty m:val="p"/>
          </m:rPr>
          <w:rPr>
            <w:rFonts w:asci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acc>
                  <m:accPr>
                    <m:chr m:val="̅"/>
                    <m:ctrlPr>
                      <w:rPr>
                        <w:rFonts w:ascii="Cambria Math" w:hAnsi="Cambria Math"/>
                        <w:i/>
                        <w:sz w:val="24"/>
                        <w:szCs w:val="24"/>
                      </w:rPr>
                    </m:ctrlPr>
                  </m:accPr>
                  <m:e>
                    <m:r>
                      <m:rPr/>
                      <w:rPr>
                        <w:rFonts w:hint="eastAsia" w:ascii="Cambria Math" w:hAnsi="Cambria Math"/>
                        <w:sz w:val="24"/>
                        <w:szCs w:val="24"/>
                      </w:rPr>
                      <m:t>E</m:t>
                    </m:r>
                    <m:ctrlPr>
                      <w:rPr>
                        <w:rFonts w:ascii="Cambria Math" w:hAnsi="Cambria Math"/>
                        <w:i/>
                        <w:sz w:val="24"/>
                        <w:szCs w:val="24"/>
                      </w:rPr>
                    </m:ctrlPr>
                  </m:e>
                </m:acc>
                <m:ctrlPr>
                  <w:rPr>
                    <w:rFonts w:ascii="Cambria Math" w:hAnsi="Cambria Math"/>
                    <w:i/>
                    <w:sz w:val="24"/>
                    <w:szCs w:val="24"/>
                  </w:rPr>
                </m:ctrlPr>
              </m:e>
              <m:sub>
                <m:r>
                  <m:rPr/>
                  <w:rPr>
                    <w:rFonts w:hint="eastAsia" w:ascii="Cambria Math" w:hAnsi="Cambria Math"/>
                    <w:sz w:val="24"/>
                    <w:szCs w:val="24"/>
                  </w:rPr>
                  <m:t>i</m:t>
                </m:r>
                <m:ctrlPr>
                  <w:rPr>
                    <w:rFonts w:ascii="Cambria Math" w:hAnsi="Cambria Math"/>
                    <w:i/>
                    <w:sz w:val="24"/>
                    <w:szCs w:val="24"/>
                  </w:rPr>
                </m:ctrlPr>
              </m:sub>
            </m:sSub>
            <m:r>
              <m:rPr>
                <m:sty m:val="p"/>
              </m:rPr>
              <w:rPr>
                <w:rFonts w:ascii="Cambria Math" w:hAns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m:rPr/>
                      <w:rPr>
                        <w:rFonts w:hint="eastAsia" w:ascii="Cambria Math" w:hAnsi="Cambria Math"/>
                        <w:sz w:val="24"/>
                        <w:szCs w:val="24"/>
                      </w:rPr>
                      <m:t>E</m:t>
                    </m:r>
                    <m:ctrlPr>
                      <w:rPr>
                        <w:rFonts w:ascii="Cambria Math" w:hAnsi="Cambria Math"/>
                        <w:i/>
                        <w:sz w:val="24"/>
                        <w:szCs w:val="24"/>
                      </w:rPr>
                    </m:ctrlPr>
                  </m:e>
                </m:acc>
                <m:ctrlPr>
                  <w:rPr>
                    <w:rFonts w:ascii="Cambria Math" w:hAnsi="Cambria Math"/>
                    <w:i/>
                    <w:sz w:val="24"/>
                    <w:szCs w:val="24"/>
                  </w:rPr>
                </m:ctrlPr>
              </m:e>
              <m:sub>
                <m:r>
                  <m:rPr/>
                  <w:rPr>
                    <w:rFonts w:ascii="Cambria Math" w:hAnsi="Cambria Math"/>
                    <w:sz w:val="24"/>
                    <w:szCs w:val="24"/>
                  </w:rPr>
                  <m:t>s</m:t>
                </m:r>
                <m:r>
                  <m:rPr/>
                  <w:rPr>
                    <w:rFonts w:hint="eastAsia" w:ascii="Cambria Math" w:hAnsi="Cambria Math"/>
                    <w:sz w:val="24"/>
                    <w:szCs w:val="24"/>
                  </w:rPr>
                  <m:t>i</m:t>
                </m:r>
                <m:ctrlPr>
                  <w:rPr>
                    <w:rFonts w:ascii="Cambria Math" w:hAnsi="Cambria Math"/>
                    <w:i/>
                    <w:sz w:val="24"/>
                    <w:szCs w:val="24"/>
                  </w:rPr>
                </m:ctrlPr>
              </m:sub>
            </m:sSub>
            <m:ctrlPr>
              <w:rPr>
                <w:rFonts w:ascii="Cambria Math" w:hAnsi="Cambria Math"/>
                <w:sz w:val="24"/>
                <w:szCs w:val="24"/>
              </w:rPr>
            </m:ctrlPr>
          </m:num>
          <m:den>
            <m:sSub>
              <m:sSubPr>
                <m:ctrlPr>
                  <w:rPr>
                    <w:rFonts w:ascii="Cambria Math" w:hAnsi="Cambria Math"/>
                    <w:i/>
                    <w:sz w:val="24"/>
                    <w:szCs w:val="24"/>
                  </w:rPr>
                </m:ctrlPr>
              </m:sSubPr>
              <m:e>
                <m:acc>
                  <m:accPr>
                    <m:chr m:val="̅"/>
                    <m:ctrlPr>
                      <w:rPr>
                        <w:rFonts w:ascii="Cambria Math" w:hAnsi="Cambria Math"/>
                        <w:i/>
                        <w:sz w:val="24"/>
                        <w:szCs w:val="24"/>
                      </w:rPr>
                    </m:ctrlPr>
                  </m:accPr>
                  <m:e>
                    <m:r>
                      <m:rPr/>
                      <w:rPr>
                        <w:rFonts w:hint="eastAsia" w:ascii="Cambria Math" w:hAnsi="Cambria Math"/>
                        <w:sz w:val="24"/>
                        <w:szCs w:val="24"/>
                      </w:rPr>
                      <m:t>E</m:t>
                    </m:r>
                    <m:ctrlPr>
                      <w:rPr>
                        <w:rFonts w:ascii="Cambria Math" w:hAnsi="Cambria Math"/>
                        <w:i/>
                        <w:sz w:val="24"/>
                        <w:szCs w:val="24"/>
                      </w:rPr>
                    </m:ctrlPr>
                  </m:e>
                </m:acc>
                <m:ctrlPr>
                  <w:rPr>
                    <w:rFonts w:ascii="Cambria Math" w:hAnsi="Cambria Math"/>
                    <w:i/>
                    <w:sz w:val="24"/>
                    <w:szCs w:val="24"/>
                  </w:rPr>
                </m:ctrlPr>
              </m:e>
              <m:sub>
                <m:r>
                  <m:rPr/>
                  <w:rPr>
                    <w:rFonts w:ascii="Cambria Math" w:hAnsi="Cambria Math"/>
                    <w:sz w:val="24"/>
                    <w:szCs w:val="24"/>
                  </w:rPr>
                  <m:t>s</m:t>
                </m:r>
                <m:r>
                  <m:rPr/>
                  <w:rPr>
                    <w:rFonts w:hint="eastAsia" w:ascii="Cambria Math" w:hAnsi="Cambria Math"/>
                    <w:sz w:val="24"/>
                    <w:szCs w:val="24"/>
                  </w:rPr>
                  <m:t>i</m:t>
                </m:r>
                <m:ctrlPr>
                  <w:rPr>
                    <w:rFonts w:ascii="Cambria Math" w:hAnsi="Cambria Math"/>
                    <w:i/>
                    <w:sz w:val="24"/>
                    <w:szCs w:val="24"/>
                  </w:rPr>
                </m:ctrlPr>
              </m:sub>
            </m:sSub>
            <m:ctrlPr>
              <w:rPr>
                <w:rFonts w:ascii="Cambria Math" w:hAnsi="Cambria Math"/>
                <w:sz w:val="24"/>
                <w:szCs w:val="24"/>
              </w:rPr>
            </m:ctrlPr>
          </m:den>
        </m:f>
        <m:r>
          <m:rPr>
            <m:sty m:val="p"/>
          </m:rPr>
          <w:rPr>
            <w:rFonts w:ascii="Cambria Math" w:hAnsi="Cambria Math"/>
            <w:sz w:val="24"/>
            <w:szCs w:val="24"/>
          </w:rPr>
          <m:t>×</m:t>
        </m:r>
        <m:r>
          <m:rPr>
            <m:sty m:val="p"/>
          </m:rPr>
          <w:rPr>
            <w:rFonts w:ascii="Cambria Math"/>
            <w:sz w:val="24"/>
            <w:szCs w:val="24"/>
          </w:rPr>
          <m:t>100%</m:t>
        </m:r>
        <w:bookmarkEnd w:id="40"/>
      </m:oMath>
      <w:r>
        <w:rPr>
          <w:sz w:val="24"/>
          <w:szCs w:val="24"/>
        </w:rPr>
        <w:t xml:space="preserve">                                               （3）</w:t>
      </w:r>
    </w:p>
    <w:p w14:paraId="05A68CBE">
      <w:pPr>
        <w:spacing w:line="360" w:lineRule="auto"/>
        <w:ind w:firstLine="480" w:firstLineChars="200"/>
        <w:rPr>
          <w:rFonts w:hint="eastAsia" w:hAnsi="宋体"/>
          <w:sz w:val="24"/>
          <w:szCs w:val="24"/>
        </w:rPr>
      </w:pPr>
      <w:r>
        <w:rPr>
          <w:rFonts w:hAnsi="宋体"/>
          <w:sz w:val="24"/>
          <w:szCs w:val="24"/>
        </w:rPr>
        <w:t>式中：</w:t>
      </w:r>
    </w:p>
    <w:p w14:paraId="61720BA5">
      <w:pPr>
        <w:spacing w:line="360" w:lineRule="auto"/>
        <w:ind w:firstLine="480" w:firstLineChars="200"/>
        <w:rPr>
          <w:sz w:val="24"/>
          <w:szCs w:val="24"/>
        </w:rPr>
      </w:pPr>
      <m:oMath>
        <m:r>
          <m:rPr>
            <m:sty m:val="p"/>
          </m:rPr>
          <w:rPr>
            <w:rFonts w:ascii="Cambria Math" w:hAnsi="Cambria Math"/>
            <w:sz w:val="24"/>
            <w:szCs w:val="24"/>
          </w:rPr>
          <m:t>∆</m:t>
        </m:r>
        <m:r>
          <m:rPr/>
          <w:rPr>
            <w:rFonts w:hint="eastAsia" w:ascii="Cambria Math" w:hAnsi="Cambria Math"/>
            <w:sz w:val="24"/>
            <w:szCs w:val="24"/>
          </w:rPr>
          <m:t>E</m:t>
        </m:r>
      </m:oMath>
      <w:r>
        <w:rPr>
          <w:rFonts w:hint="eastAsia"/>
          <w:sz w:val="24"/>
          <w:szCs w:val="24"/>
        </w:rPr>
        <w:t>—</w:t>
      </w:r>
      <w:r>
        <w:rPr>
          <w:sz w:val="24"/>
          <w:szCs w:val="24"/>
        </w:rPr>
        <w:t>辐射照度测量的示值</w:t>
      </w:r>
      <w:r>
        <w:rPr>
          <w:rFonts w:hint="eastAsia"/>
          <w:sz w:val="24"/>
          <w:szCs w:val="24"/>
        </w:rPr>
        <w:t>相对</w:t>
      </w:r>
      <w:r>
        <w:rPr>
          <w:sz w:val="24"/>
          <w:szCs w:val="24"/>
        </w:rPr>
        <w:t>误差</w:t>
      </w:r>
      <w:r>
        <w:rPr>
          <w:rFonts w:hint="eastAsia"/>
          <w:sz w:val="24"/>
          <w:szCs w:val="24"/>
        </w:rPr>
        <w:t>；</w:t>
      </w:r>
    </w:p>
    <w:p w14:paraId="6F35A2BD">
      <w:pPr>
        <w:spacing w:line="360" w:lineRule="auto"/>
        <w:ind w:firstLine="480" w:firstLineChars="200"/>
        <w:rPr>
          <w:sz w:val="24"/>
          <w:szCs w:val="24"/>
        </w:rPr>
      </w:pPr>
      <m:oMath>
        <m:sSub>
          <w:bookmarkStart w:id="41" w:name="_Hlk55253811"/>
          <m:sSubPr>
            <m:ctrlPr>
              <w:rPr>
                <w:rFonts w:ascii="Cambria Math" w:hAnsi="Cambria Math"/>
                <w:i/>
                <w:sz w:val="24"/>
                <w:szCs w:val="24"/>
              </w:rPr>
            </m:ctrlPr>
          </m:sSubPr>
          <m:e>
            <m:acc>
              <m:accPr>
                <m:chr m:val="̅"/>
                <m:ctrlPr>
                  <w:rPr>
                    <w:rFonts w:ascii="Cambria Math" w:hAnsi="Cambria Math"/>
                    <w:i/>
                    <w:sz w:val="24"/>
                    <w:szCs w:val="24"/>
                  </w:rPr>
                </m:ctrlPr>
              </m:accPr>
              <m:e>
                <m:r>
                  <m:rPr/>
                  <w:rPr>
                    <w:rFonts w:hint="eastAsia" w:ascii="Cambria Math" w:hAnsi="Cambria Math"/>
                    <w:sz w:val="24"/>
                    <w:szCs w:val="24"/>
                  </w:rPr>
                  <m:t>E</m:t>
                </m:r>
                <m:ctrlPr>
                  <w:rPr>
                    <w:rFonts w:ascii="Cambria Math" w:hAnsi="Cambria Math"/>
                    <w:i/>
                    <w:sz w:val="24"/>
                    <w:szCs w:val="24"/>
                  </w:rPr>
                </m:ctrlPr>
              </m:e>
            </m:acc>
            <m:ctrlPr>
              <w:rPr>
                <w:rFonts w:ascii="Cambria Math" w:hAnsi="Cambria Math"/>
                <w:i/>
                <w:sz w:val="24"/>
                <w:szCs w:val="24"/>
              </w:rPr>
            </m:ctrlPr>
          </m:e>
          <m:sub>
            <m:r>
              <m:rPr/>
              <w:rPr>
                <w:rFonts w:hint="eastAsia" w:ascii="Cambria Math" w:hAnsi="Cambria Math"/>
                <w:sz w:val="24"/>
                <w:szCs w:val="24"/>
              </w:rPr>
              <m:t>i</m:t>
            </m:r>
            <m:ctrlPr>
              <w:rPr>
                <w:rFonts w:ascii="Cambria Math" w:hAnsi="Cambria Math"/>
                <w:i/>
                <w:sz w:val="24"/>
                <w:szCs w:val="24"/>
              </w:rPr>
            </m:ctrlPr>
          </m:sub>
        </m:sSub>
      </m:oMath>
      <w:r>
        <w:rPr>
          <w:sz w:val="24"/>
          <w:szCs w:val="24"/>
        </w:rPr>
        <w:t>—</w:t>
      </w:r>
      <w:r>
        <w:rPr>
          <w:rFonts w:hAnsi="宋体"/>
          <w:sz w:val="24"/>
          <w:szCs w:val="24"/>
        </w:rPr>
        <w:t>被校辐射热计</w:t>
      </w:r>
      <w:r>
        <w:rPr>
          <w:rFonts w:hint="eastAsia"/>
          <w:sz w:val="24"/>
          <w:szCs w:val="24"/>
        </w:rPr>
        <w:t>的3次</w:t>
      </w:r>
      <w:r>
        <w:rPr>
          <w:rFonts w:hAnsi="宋体"/>
          <w:sz w:val="24"/>
          <w:szCs w:val="24"/>
        </w:rPr>
        <w:t>测量</w:t>
      </w:r>
      <w:r>
        <w:rPr>
          <w:rFonts w:hint="eastAsia" w:hAnsi="宋体"/>
          <w:sz w:val="24"/>
          <w:szCs w:val="24"/>
        </w:rPr>
        <w:t>平均</w:t>
      </w:r>
      <w:r>
        <w:rPr>
          <w:rFonts w:hAnsi="宋体"/>
          <w:sz w:val="24"/>
          <w:szCs w:val="24"/>
        </w:rPr>
        <w:t>值</w:t>
      </w:r>
      <w:r>
        <w:rPr>
          <w:rFonts w:hint="eastAsia" w:hAnsi="宋体"/>
          <w:sz w:val="24"/>
          <w:szCs w:val="24"/>
        </w:rPr>
        <w:t>，kW/m</w:t>
      </w:r>
      <w:r>
        <w:rPr>
          <w:rFonts w:hint="eastAsia" w:hAnsi="宋体"/>
          <w:sz w:val="24"/>
          <w:szCs w:val="24"/>
          <w:vertAlign w:val="superscript"/>
        </w:rPr>
        <w:t>2</w:t>
      </w:r>
      <w:r>
        <w:rPr>
          <w:rFonts w:hAnsi="宋体"/>
          <w:sz w:val="24"/>
          <w:szCs w:val="24"/>
        </w:rPr>
        <w:t>；</w:t>
      </w:r>
    </w:p>
    <w:p w14:paraId="77B118C7">
      <w:pPr>
        <w:spacing w:line="360" w:lineRule="auto"/>
        <w:ind w:firstLine="480" w:firstLineChars="200"/>
        <w:rPr>
          <w:rFonts w:hint="eastAsia" w:hAnsi="宋体"/>
          <w:sz w:val="24"/>
          <w:szCs w:val="24"/>
        </w:rPr>
      </w:pPr>
      <m:oMath>
        <m:sSub>
          <m:sSubPr>
            <m:ctrlPr>
              <w:rPr>
                <w:rFonts w:ascii="Cambria Math" w:hAnsi="Cambria Math"/>
                <w:i/>
                <w:sz w:val="24"/>
                <w:szCs w:val="24"/>
              </w:rPr>
            </m:ctrlPr>
          </m:sSubPr>
          <m:e>
            <m:acc>
              <m:accPr>
                <m:chr m:val="̅"/>
                <m:ctrlPr>
                  <w:rPr>
                    <w:rFonts w:ascii="Cambria Math" w:hAnsi="Cambria Math"/>
                    <w:i/>
                    <w:sz w:val="24"/>
                    <w:szCs w:val="24"/>
                  </w:rPr>
                </m:ctrlPr>
              </m:accPr>
              <m:e>
                <m:r>
                  <m:rPr/>
                  <w:rPr>
                    <w:rFonts w:hint="eastAsia" w:ascii="Cambria Math" w:hAnsi="Cambria Math"/>
                    <w:sz w:val="24"/>
                    <w:szCs w:val="24"/>
                  </w:rPr>
                  <m:t>E</m:t>
                </m:r>
                <m:ctrlPr>
                  <w:rPr>
                    <w:rFonts w:ascii="Cambria Math" w:hAnsi="Cambria Math"/>
                    <w:i/>
                    <w:sz w:val="24"/>
                    <w:szCs w:val="24"/>
                  </w:rPr>
                </m:ctrlPr>
              </m:e>
            </m:acc>
            <m:ctrlPr>
              <w:rPr>
                <w:rFonts w:ascii="Cambria Math" w:hAnsi="Cambria Math"/>
                <w:i/>
                <w:sz w:val="24"/>
                <w:szCs w:val="24"/>
              </w:rPr>
            </m:ctrlPr>
          </m:e>
          <m:sub>
            <m:r>
              <m:rPr/>
              <w:rPr>
                <w:rFonts w:ascii="Cambria Math" w:hAnsi="Cambria Math"/>
                <w:sz w:val="24"/>
                <w:szCs w:val="24"/>
              </w:rPr>
              <m:t>s</m:t>
            </m:r>
            <m:r>
              <m:rPr/>
              <w:rPr>
                <w:rFonts w:hint="eastAsia" w:ascii="Cambria Math" w:hAnsi="Cambria Math"/>
                <w:sz w:val="24"/>
                <w:szCs w:val="24"/>
              </w:rPr>
              <m:t>i</m:t>
            </m:r>
            <m:ctrlPr>
              <w:rPr>
                <w:rFonts w:ascii="Cambria Math" w:hAnsi="Cambria Math"/>
                <w:i/>
                <w:sz w:val="24"/>
                <w:szCs w:val="24"/>
              </w:rPr>
            </m:ctrlPr>
          </m:sub>
        </m:sSub>
      </m:oMath>
      <w:r>
        <w:rPr>
          <w:sz w:val="24"/>
          <w:szCs w:val="24"/>
        </w:rPr>
        <w:t>—</w:t>
      </w:r>
      <w:r>
        <w:rPr>
          <w:rFonts w:hAnsi="宋体"/>
          <w:sz w:val="24"/>
          <w:szCs w:val="24"/>
        </w:rPr>
        <w:t>标准辐射热计</w:t>
      </w:r>
      <w:r>
        <w:rPr>
          <w:rFonts w:hint="eastAsia"/>
          <w:sz w:val="24"/>
          <w:szCs w:val="24"/>
        </w:rPr>
        <w:t>的3次测量平均值</w:t>
      </w:r>
      <w:r>
        <w:rPr>
          <w:rFonts w:hint="eastAsia" w:hAnsi="宋体"/>
          <w:sz w:val="24"/>
          <w:szCs w:val="24"/>
        </w:rPr>
        <w:t>，kW/m</w:t>
      </w:r>
      <w:r>
        <w:rPr>
          <w:rFonts w:hint="eastAsia" w:hAnsi="宋体"/>
          <w:sz w:val="24"/>
          <w:szCs w:val="24"/>
          <w:vertAlign w:val="superscript"/>
        </w:rPr>
        <w:t>2</w:t>
      </w:r>
      <w:r>
        <w:rPr>
          <w:rFonts w:hAnsi="宋体"/>
          <w:sz w:val="24"/>
          <w:szCs w:val="24"/>
        </w:rPr>
        <w:t>。</w:t>
      </w:r>
    </w:p>
    <w:bookmarkEnd w:id="41"/>
    <w:p w14:paraId="64E08D13">
      <w:pPr>
        <w:spacing w:line="360" w:lineRule="auto"/>
        <w:rPr>
          <w:rFonts w:hint="eastAsia" w:hAnsi="宋体"/>
          <w:sz w:val="24"/>
          <w:szCs w:val="24"/>
        </w:rPr>
      </w:pPr>
      <w:r>
        <w:rPr>
          <w:rFonts w:hAnsi="宋体"/>
          <w:sz w:val="24"/>
          <w:szCs w:val="24"/>
        </w:rPr>
        <w:t xml:space="preserve">6.3 </w:t>
      </w:r>
      <w:r>
        <w:rPr>
          <w:rFonts w:hint="eastAsia" w:hAnsi="宋体"/>
          <w:sz w:val="24"/>
          <w:szCs w:val="24"/>
        </w:rPr>
        <w:t>比光密度示值误差和重复性</w:t>
      </w:r>
    </w:p>
    <w:p w14:paraId="571952C3">
      <w:pPr>
        <w:spacing w:line="360" w:lineRule="auto"/>
        <w:ind w:firstLine="480" w:firstLineChars="200"/>
        <w:rPr>
          <w:rFonts w:hint="eastAsia" w:hAnsi="宋体"/>
          <w:sz w:val="24"/>
          <w:szCs w:val="24"/>
        </w:rPr>
      </w:pPr>
      <w:bookmarkStart w:id="42" w:name="_Hlk196826320"/>
      <w:r>
        <w:rPr>
          <w:rFonts w:hint="eastAsia" w:hAnsi="宋体"/>
          <w:sz w:val="24"/>
          <w:szCs w:val="24"/>
        </w:rPr>
        <w:t>将空样品盒放置于样品支撑架上，关闭烟密度箱，将辐射锥的辐射照度设置在2</w:t>
      </w:r>
      <w:r>
        <w:rPr>
          <w:rFonts w:hAnsi="宋体"/>
          <w:sz w:val="24"/>
          <w:szCs w:val="24"/>
        </w:rPr>
        <w:t>5</w:t>
      </w:r>
      <w:r>
        <w:rPr>
          <w:rFonts w:hint="eastAsia" w:hAnsi="宋体"/>
          <w:sz w:val="24"/>
          <w:szCs w:val="24"/>
        </w:rPr>
        <w:t>k</w:t>
      </w:r>
      <w:r>
        <w:rPr>
          <w:rFonts w:hAnsi="宋体"/>
          <w:sz w:val="24"/>
          <w:szCs w:val="24"/>
        </w:rPr>
        <w:t>W/m</w:t>
      </w:r>
      <w:r>
        <w:rPr>
          <w:rFonts w:hAnsi="宋体"/>
          <w:sz w:val="24"/>
          <w:szCs w:val="24"/>
          <w:vertAlign w:val="superscript"/>
        </w:rPr>
        <w:t>2</w:t>
      </w:r>
      <w:r>
        <w:rPr>
          <w:rFonts w:hint="eastAsia" w:hAnsi="宋体"/>
          <w:sz w:val="24"/>
          <w:szCs w:val="24"/>
        </w:rPr>
        <w:t>。选取烟密度标准物质，待稳定后将样品盒取出，然后将标准物质置于样品盒中，关闭烟密度箱。将辐射锥下面屏蔽罩移除，同时开启数据记录系统和关闭进气口，记录第4分钟的比光密度</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s4</m:t>
            </m:r>
            <m:ctrlPr>
              <w:rPr>
                <w:rFonts w:ascii="Cambria Math" w:hAnsi="Cambria Math"/>
                <w:i/>
                <w:sz w:val="24"/>
                <w:szCs w:val="24"/>
              </w:rPr>
            </m:ctrlPr>
          </m:sub>
        </m:sSub>
      </m:oMath>
      <w:r>
        <w:rPr>
          <w:rFonts w:hint="eastAsia" w:hAnsi="宋体"/>
          <w:sz w:val="24"/>
          <w:szCs w:val="24"/>
        </w:rPr>
        <w:t>。每种标准物质重复测量三次，按式（4）和（5）分别计算比光密度示值误差和重复性。</w:t>
      </w:r>
    </w:p>
    <w:bookmarkEnd w:id="42"/>
    <w:p w14:paraId="7D2BB0DE">
      <w:pPr>
        <w:spacing w:line="360" w:lineRule="auto"/>
        <w:ind w:firstLine="480" w:firstLineChars="200"/>
        <w:jc w:val="right"/>
        <w:rPr>
          <w:rFonts w:hint="eastAsia" w:hAnsi="宋体"/>
          <w:sz w:val="24"/>
          <w:szCs w:val="24"/>
        </w:rPr>
      </w:pPr>
      <m:oMath>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ss</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ss</m:t>
                </m:r>
                <m:ctrlPr>
                  <w:rPr>
                    <w:rFonts w:ascii="Cambria Math" w:hAnsi="Cambria Math"/>
                    <w:i/>
                    <w:sz w:val="24"/>
                    <w:szCs w:val="24"/>
                  </w:rPr>
                </m:ctrlPr>
              </m:sub>
            </m:sSub>
            <m:ctrlPr>
              <w:rPr>
                <w:rFonts w:ascii="Cambria Math" w:hAnsi="Cambria Math"/>
                <w:i/>
                <w:sz w:val="24"/>
                <w:szCs w:val="24"/>
              </w:rPr>
            </m:ctrlPr>
          </m:den>
        </m:f>
        <m:r>
          <m:rPr/>
          <w:rPr>
            <w:rFonts w:ascii="Cambria Math" w:hAnsi="Cambria Math"/>
            <w:sz w:val="24"/>
            <w:szCs w:val="24"/>
          </w:rPr>
          <m:t>×100%</m:t>
        </m:r>
      </m:oMath>
      <w:r>
        <w:rPr>
          <w:rFonts w:hint="eastAsia" w:hAnsi="宋体"/>
          <w:sz w:val="24"/>
          <w:szCs w:val="24"/>
        </w:rPr>
        <w:t xml:space="preserve"> </w:t>
      </w:r>
      <w:r>
        <w:rPr>
          <w:rFonts w:hAnsi="宋体"/>
          <w:sz w:val="24"/>
          <w:szCs w:val="24"/>
        </w:rPr>
        <w:t xml:space="preserve">                                              </w:t>
      </w:r>
      <w:r>
        <w:rPr>
          <w:rFonts w:hint="eastAsia" w:hAnsi="宋体"/>
          <w:sz w:val="24"/>
          <w:szCs w:val="24"/>
        </w:rPr>
        <w:t>（4）</w:t>
      </w:r>
    </w:p>
    <w:p w14:paraId="27DF3C14">
      <w:pPr>
        <w:spacing w:line="360" w:lineRule="auto"/>
        <w:ind w:firstLine="480" w:firstLineChars="200"/>
        <w:rPr>
          <w:rFonts w:hint="eastAsia" w:hAnsi="宋体"/>
          <w:sz w:val="24"/>
          <w:szCs w:val="24"/>
        </w:rPr>
      </w:pPr>
      <w:r>
        <w:rPr>
          <w:rFonts w:hint="eastAsia" w:hAnsi="宋体"/>
          <w:sz w:val="24"/>
          <w:szCs w:val="24"/>
        </w:rPr>
        <w:t>式中：</w:t>
      </w:r>
    </w:p>
    <w:p w14:paraId="3A10A255">
      <w:pPr>
        <w:spacing w:line="360" w:lineRule="auto"/>
        <w:ind w:firstLine="480" w:firstLineChars="200"/>
        <w:rPr>
          <w:rFonts w:hint="eastAsia" w:hAnsi="宋体"/>
          <w:sz w:val="24"/>
          <w:szCs w:val="24"/>
        </w:rPr>
      </w:pPr>
      <m:oMath>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m:t>
            </m:r>
            <m:ctrlPr>
              <w:rPr>
                <w:rFonts w:ascii="Cambria Math" w:hAnsi="Cambria Math"/>
                <w:i/>
                <w:sz w:val="24"/>
                <w:szCs w:val="24"/>
              </w:rPr>
            </m:ctrlPr>
          </m:sub>
        </m:sSub>
      </m:oMath>
      <w:r>
        <w:rPr>
          <w:rFonts w:hint="eastAsia" w:hAnsi="宋体"/>
          <w:sz w:val="24"/>
          <w:szCs w:val="24"/>
        </w:rPr>
        <w:t>—比光密度示值误差；</w:t>
      </w:r>
    </w:p>
    <w:p w14:paraId="2B307344">
      <w:pPr>
        <w:spacing w:line="360" w:lineRule="auto"/>
        <w:ind w:firstLine="480" w:firstLineChars="200"/>
        <w:rPr>
          <w:rFonts w:hint="eastAsia" w:hAnsi="宋体"/>
          <w:sz w:val="24"/>
          <w:szCs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oMath>
      <w:r>
        <w:rPr>
          <w:rFonts w:hint="eastAsia" w:hAnsi="宋体"/>
          <w:sz w:val="24"/>
          <w:szCs w:val="24"/>
        </w:rPr>
        <w:t>—比光密度3次测量值平均值；</w:t>
      </w:r>
    </w:p>
    <w:p w14:paraId="7CC2D01D">
      <w:pPr>
        <w:spacing w:line="360" w:lineRule="auto"/>
        <w:ind w:firstLine="480" w:firstLineChars="200"/>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ss</m:t>
            </m:r>
            <m:ctrlPr>
              <w:rPr>
                <w:rFonts w:ascii="Cambria Math" w:hAnsi="Cambria Math"/>
                <w:i/>
                <w:sz w:val="24"/>
                <w:szCs w:val="24"/>
              </w:rPr>
            </m:ctrlPr>
          </m:sub>
        </m:sSub>
      </m:oMath>
      <w:r>
        <w:rPr>
          <w:rFonts w:hint="eastAsia" w:hAnsi="宋体"/>
          <w:sz w:val="24"/>
          <w:szCs w:val="24"/>
        </w:rPr>
        <w:t>—比光密度标准物质标准值。</w:t>
      </w:r>
    </w:p>
    <w:p w14:paraId="29CA667B">
      <w:pPr>
        <w:spacing w:line="360" w:lineRule="auto"/>
        <w:ind w:firstLine="480" w:firstLineChars="200"/>
        <w:jc w:val="right"/>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δ</m:t>
            </m:r>
            <m:ctrlPr>
              <w:rPr>
                <w:rFonts w:ascii="Cambria Math" w:hAnsi="Cambria Math"/>
                <w:i/>
                <w:sz w:val="24"/>
                <w:szCs w:val="24"/>
              </w:rPr>
            </m:ctrlPr>
          </m:e>
          <m:sub>
            <m:r>
              <m:rPr/>
              <w:rPr>
                <w:rFonts w:ascii="Cambria Math" w:hAnsi="Cambria Math"/>
                <w:sz w:val="24"/>
                <w:szCs w:val="24"/>
              </w:rPr>
              <m:t>D</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r>
                      <m:rPr/>
                      <w:rPr>
                        <w:rFonts w:ascii="Cambria Math" w:hAnsi="Cambria Math"/>
                        <w:sz w:val="24"/>
                        <w:szCs w:val="24"/>
                      </w:rPr>
                      <m:t>−</m:t>
                    </m:r>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ctrlPr>
                      <w:rPr>
                        <w:rFonts w:ascii="Cambria Math" w:hAnsi="Cambria Math"/>
                        <w:i/>
                        <w:sz w:val="24"/>
                        <w:szCs w:val="24"/>
                      </w:rPr>
                    </m:ctrlPr>
                  </m:e>
                </m:d>
                <m:ctrlPr>
                  <w:rPr>
                    <w:rFonts w:ascii="Cambria Math" w:hAnsi="Cambria Math"/>
                    <w:i/>
                    <w:sz w:val="24"/>
                    <w:szCs w:val="24"/>
                  </w:rPr>
                </m:ctrlPr>
              </m:e>
              <m:sub>
                <m:r>
                  <m:rPr/>
                  <w:rPr>
                    <w:rFonts w:ascii="Cambria Math" w:hAnsi="Cambria Math"/>
                    <w:sz w:val="24"/>
                    <w:szCs w:val="24"/>
                  </w:rPr>
                  <m:t>max</m:t>
                </m:r>
                <m:ctrlPr>
                  <w:rPr>
                    <w:rFonts w:ascii="Cambria Math" w:hAnsi="Cambria Math"/>
                    <w:i/>
                    <w:sz w:val="24"/>
                    <w:szCs w:val="24"/>
                  </w:rPr>
                </m:ctrlPr>
              </m:sub>
            </m:sSub>
            <m:ctrlPr>
              <w:rPr>
                <w:rFonts w:ascii="Cambria Math" w:hAnsi="Cambria Math"/>
                <w:i/>
                <w:sz w:val="24"/>
                <w:szCs w:val="24"/>
              </w:rPr>
            </m:ctrlPr>
          </m:num>
          <m:den>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ctrlPr>
              <w:rPr>
                <w:rFonts w:ascii="Cambria Math" w:hAnsi="Cambria Math"/>
                <w:i/>
                <w:sz w:val="24"/>
                <w:szCs w:val="24"/>
              </w:rPr>
            </m:ctrlPr>
          </m:den>
        </m:f>
        <m:r>
          <m:rPr/>
          <w:rPr>
            <w:rFonts w:ascii="Cambria Math" w:hAnsi="Cambria Math"/>
            <w:sz w:val="24"/>
            <w:szCs w:val="24"/>
          </w:rPr>
          <m:t>×100%</m:t>
        </m:r>
      </m:oMath>
      <w:r>
        <w:rPr>
          <w:rFonts w:hint="eastAsia" w:hAnsi="宋体"/>
          <w:sz w:val="24"/>
          <w:szCs w:val="24"/>
        </w:rPr>
        <w:t xml:space="preserve"> </w:t>
      </w:r>
      <w:r>
        <w:rPr>
          <w:rFonts w:hAnsi="宋体"/>
          <w:sz w:val="24"/>
          <w:szCs w:val="24"/>
        </w:rPr>
        <w:t xml:space="preserve">                                           </w:t>
      </w:r>
      <w:r>
        <w:rPr>
          <w:rFonts w:hint="eastAsia" w:hAnsi="宋体"/>
          <w:sz w:val="24"/>
          <w:szCs w:val="24"/>
        </w:rPr>
        <w:t>（2）</w:t>
      </w:r>
    </w:p>
    <w:p w14:paraId="0F6619EC">
      <w:pPr>
        <w:spacing w:line="360" w:lineRule="auto"/>
        <w:ind w:right="240" w:firstLine="480" w:firstLineChars="200"/>
        <w:jc w:val="left"/>
        <w:rPr>
          <w:rFonts w:hint="eastAsia" w:hAnsi="宋体"/>
          <w:sz w:val="24"/>
          <w:szCs w:val="24"/>
        </w:rPr>
      </w:pPr>
      <w:r>
        <w:rPr>
          <w:rFonts w:hint="eastAsia" w:hAnsi="宋体"/>
          <w:sz w:val="24"/>
          <w:szCs w:val="24"/>
        </w:rPr>
        <w:t>式中：</w:t>
      </w:r>
    </w:p>
    <w:p w14:paraId="59F3A1C6">
      <w:pPr>
        <w:spacing w:line="360" w:lineRule="auto"/>
        <w:ind w:right="240" w:firstLine="480" w:firstLineChars="200"/>
        <w:jc w:val="left"/>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δ</m:t>
            </m:r>
            <m:ctrlPr>
              <w:rPr>
                <w:rFonts w:ascii="Cambria Math" w:hAnsi="Cambria Math"/>
                <w:i/>
                <w:sz w:val="24"/>
                <w:szCs w:val="24"/>
              </w:rPr>
            </m:ctrlPr>
          </m:e>
          <m:sub>
            <m:r>
              <m:rPr/>
              <w:rPr>
                <w:rFonts w:ascii="Cambria Math" w:hAnsi="Cambria Math"/>
                <w:sz w:val="24"/>
                <w:szCs w:val="24"/>
              </w:rPr>
              <m:t>D</m:t>
            </m:r>
            <m:ctrlPr>
              <w:rPr>
                <w:rFonts w:ascii="Cambria Math" w:hAnsi="Cambria Math"/>
                <w:i/>
                <w:sz w:val="24"/>
                <w:szCs w:val="24"/>
              </w:rPr>
            </m:ctrlPr>
          </m:sub>
        </m:sSub>
      </m:oMath>
      <w:r>
        <w:rPr>
          <w:rFonts w:hint="eastAsia" w:hAnsi="宋体"/>
          <w:sz w:val="24"/>
          <w:szCs w:val="24"/>
        </w:rPr>
        <w:t>—比光密度重复性；</w:t>
      </w:r>
    </w:p>
    <w:p w14:paraId="6BCA704B">
      <w:pPr>
        <w:spacing w:line="360" w:lineRule="auto"/>
        <w:ind w:right="240" w:firstLine="480" w:firstLineChars="200"/>
        <w:jc w:val="left"/>
        <w:rPr>
          <w:rFonts w:hint="eastAsia" w:hAnsi="宋体"/>
          <w:sz w:val="24"/>
          <w:szCs w:val="24"/>
        </w:rPr>
      </w:pP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oMath>
      <w:r>
        <w:rPr>
          <w:rFonts w:hint="eastAsia" w:hAnsi="宋体"/>
          <w:sz w:val="24"/>
          <w:szCs w:val="24"/>
        </w:rPr>
        <w:t>—比光密度第</w:t>
      </w:r>
      <w:r>
        <w:rPr>
          <w:rFonts w:hint="eastAsia" w:hAnsi="宋体"/>
          <w:i/>
          <w:iCs/>
          <w:sz w:val="24"/>
          <w:szCs w:val="24"/>
        </w:rPr>
        <w:t>i</w:t>
      </w:r>
      <w:r>
        <w:rPr>
          <w:rFonts w:hint="eastAsia" w:hAnsi="宋体"/>
          <w:sz w:val="24"/>
          <w:szCs w:val="24"/>
        </w:rPr>
        <w:t>次测量值。</w:t>
      </w:r>
    </w:p>
    <w:p w14:paraId="67973566">
      <w:pPr>
        <w:pStyle w:val="2"/>
        <w:spacing w:line="480" w:lineRule="auto"/>
        <w:ind w:firstLine="0" w:firstLineChars="0"/>
        <w:rPr>
          <w:rFonts w:eastAsia="黑体"/>
          <w:sz w:val="24"/>
          <w:szCs w:val="24"/>
        </w:rPr>
      </w:pPr>
      <w:bookmarkStart w:id="43" w:name="_Toc150424199"/>
      <w:r>
        <w:rPr>
          <w:rFonts w:eastAsia="黑体"/>
          <w:sz w:val="24"/>
          <w:szCs w:val="24"/>
        </w:rPr>
        <w:t>7  校准结果的表达</w:t>
      </w:r>
      <w:bookmarkEnd w:id="43"/>
    </w:p>
    <w:p w14:paraId="2EE8768D">
      <w:pPr>
        <w:spacing w:line="360" w:lineRule="auto"/>
        <w:ind w:left="360"/>
        <w:rPr>
          <w:sz w:val="24"/>
          <w:szCs w:val="24"/>
        </w:rPr>
      </w:pPr>
      <w:r>
        <w:rPr>
          <w:rFonts w:hint="eastAsia" w:cs="宋体"/>
          <w:sz w:val="24"/>
          <w:szCs w:val="24"/>
        </w:rPr>
        <w:t>校准结果应在校准证书上反映，校准证书应至少包括以下信息：</w:t>
      </w:r>
    </w:p>
    <w:p w14:paraId="2718D9AA">
      <w:pPr>
        <w:spacing w:line="360" w:lineRule="auto"/>
        <w:ind w:left="360"/>
        <w:rPr>
          <w:sz w:val="24"/>
          <w:szCs w:val="24"/>
        </w:rPr>
      </w:pPr>
      <w:r>
        <w:rPr>
          <w:sz w:val="24"/>
          <w:szCs w:val="24"/>
        </w:rPr>
        <w:t xml:space="preserve">a)  </w:t>
      </w:r>
      <w:r>
        <w:rPr>
          <w:rFonts w:hint="eastAsia" w:cs="宋体"/>
          <w:sz w:val="24"/>
          <w:szCs w:val="24"/>
        </w:rPr>
        <w:t>标题：</w:t>
      </w:r>
      <w:r>
        <w:rPr>
          <w:rFonts w:hint="eastAsia"/>
          <w:sz w:val="24"/>
          <w:szCs w:val="24"/>
        </w:rPr>
        <w:t>“</w:t>
      </w:r>
      <w:r>
        <w:rPr>
          <w:rFonts w:hint="eastAsia" w:cs="宋体"/>
          <w:sz w:val="24"/>
          <w:szCs w:val="24"/>
        </w:rPr>
        <w:t>校准证书</w:t>
      </w:r>
      <w:r>
        <w:rPr>
          <w:rFonts w:hint="eastAsia"/>
          <w:sz w:val="24"/>
          <w:szCs w:val="24"/>
        </w:rPr>
        <w:t>”或“校准报告”</w:t>
      </w:r>
      <w:r>
        <w:rPr>
          <w:rFonts w:hint="eastAsia" w:cs="宋体"/>
          <w:sz w:val="24"/>
          <w:szCs w:val="24"/>
        </w:rPr>
        <w:t>；</w:t>
      </w:r>
    </w:p>
    <w:p w14:paraId="7F630B72">
      <w:pPr>
        <w:spacing w:line="360" w:lineRule="auto"/>
        <w:ind w:left="360"/>
        <w:rPr>
          <w:sz w:val="24"/>
          <w:szCs w:val="24"/>
        </w:rPr>
      </w:pPr>
      <w:r>
        <w:rPr>
          <w:sz w:val="24"/>
          <w:szCs w:val="24"/>
        </w:rPr>
        <w:t xml:space="preserve">b)  </w:t>
      </w:r>
      <w:r>
        <w:rPr>
          <w:rFonts w:hint="eastAsia" w:cs="宋体"/>
          <w:sz w:val="24"/>
          <w:szCs w:val="24"/>
        </w:rPr>
        <w:t>实验室名称和地址；</w:t>
      </w:r>
    </w:p>
    <w:p w14:paraId="45D07A9C">
      <w:pPr>
        <w:spacing w:line="360" w:lineRule="auto"/>
        <w:ind w:left="360"/>
        <w:rPr>
          <w:sz w:val="24"/>
          <w:szCs w:val="24"/>
        </w:rPr>
      </w:pPr>
      <w:r>
        <w:rPr>
          <w:sz w:val="24"/>
          <w:szCs w:val="24"/>
        </w:rPr>
        <w:t xml:space="preserve">c)  </w:t>
      </w:r>
      <w:r>
        <w:rPr>
          <w:rFonts w:hint="eastAsia" w:cs="宋体"/>
          <w:sz w:val="24"/>
          <w:szCs w:val="24"/>
        </w:rPr>
        <w:t>证书或报告的唯一性标识（如编号），每页及总页数的标识；</w:t>
      </w:r>
    </w:p>
    <w:p w14:paraId="69FC8F95">
      <w:pPr>
        <w:spacing w:line="360" w:lineRule="auto"/>
        <w:ind w:left="360"/>
        <w:rPr>
          <w:sz w:val="24"/>
          <w:szCs w:val="24"/>
        </w:rPr>
      </w:pPr>
      <w:r>
        <w:rPr>
          <w:sz w:val="24"/>
          <w:szCs w:val="24"/>
        </w:rPr>
        <w:t xml:space="preserve">d)  </w:t>
      </w:r>
      <w:r>
        <w:rPr>
          <w:rFonts w:hint="eastAsia" w:cs="宋体"/>
          <w:sz w:val="24"/>
          <w:szCs w:val="24"/>
        </w:rPr>
        <w:t>客户的名称和地址；</w:t>
      </w:r>
    </w:p>
    <w:p w14:paraId="191D29F6">
      <w:pPr>
        <w:spacing w:line="360" w:lineRule="auto"/>
        <w:ind w:left="360"/>
        <w:rPr>
          <w:sz w:val="24"/>
          <w:szCs w:val="24"/>
        </w:rPr>
      </w:pPr>
      <w:r>
        <w:rPr>
          <w:sz w:val="24"/>
          <w:szCs w:val="24"/>
        </w:rPr>
        <w:t xml:space="preserve">e)  </w:t>
      </w:r>
      <w:r>
        <w:rPr>
          <w:rFonts w:hint="eastAsia" w:cs="宋体"/>
          <w:sz w:val="24"/>
          <w:szCs w:val="24"/>
        </w:rPr>
        <w:t>被校对象的描述和明确标识；</w:t>
      </w:r>
    </w:p>
    <w:p w14:paraId="0EDF8C40">
      <w:pPr>
        <w:spacing w:line="360" w:lineRule="auto"/>
        <w:ind w:left="360"/>
        <w:rPr>
          <w:sz w:val="24"/>
          <w:szCs w:val="24"/>
        </w:rPr>
      </w:pPr>
      <w:r>
        <w:rPr>
          <w:sz w:val="24"/>
          <w:szCs w:val="24"/>
        </w:rPr>
        <w:t xml:space="preserve">f)  </w:t>
      </w:r>
      <w:r>
        <w:rPr>
          <w:rFonts w:hint="eastAsia" w:cs="宋体"/>
          <w:sz w:val="24"/>
          <w:szCs w:val="24"/>
        </w:rPr>
        <w:t>进行校准的日期；</w:t>
      </w:r>
    </w:p>
    <w:p w14:paraId="6DAE38C6">
      <w:pPr>
        <w:spacing w:line="360" w:lineRule="auto"/>
        <w:ind w:left="360"/>
        <w:rPr>
          <w:sz w:val="24"/>
          <w:szCs w:val="24"/>
        </w:rPr>
      </w:pPr>
      <w:r>
        <w:rPr>
          <w:sz w:val="24"/>
          <w:szCs w:val="24"/>
        </w:rPr>
        <w:t xml:space="preserve">g)  </w:t>
      </w:r>
      <w:r>
        <w:rPr>
          <w:rFonts w:hint="eastAsia" w:cs="宋体"/>
          <w:sz w:val="24"/>
          <w:szCs w:val="24"/>
        </w:rPr>
        <w:t>校准所依据的技术规范的标识，包括名称及代号；</w:t>
      </w:r>
    </w:p>
    <w:p w14:paraId="4FC4F572">
      <w:pPr>
        <w:spacing w:line="360" w:lineRule="auto"/>
        <w:ind w:left="360"/>
        <w:rPr>
          <w:sz w:val="24"/>
          <w:szCs w:val="24"/>
        </w:rPr>
      </w:pPr>
      <w:r>
        <w:rPr>
          <w:sz w:val="24"/>
          <w:szCs w:val="24"/>
        </w:rPr>
        <w:t xml:space="preserve">h)  </w:t>
      </w:r>
      <w:r>
        <w:rPr>
          <w:rFonts w:hint="eastAsia" w:cs="宋体"/>
          <w:sz w:val="24"/>
          <w:szCs w:val="24"/>
        </w:rPr>
        <w:t>本次校准所用测量标准的溯源性及有效性说明；</w:t>
      </w:r>
    </w:p>
    <w:p w14:paraId="5208F772">
      <w:pPr>
        <w:spacing w:line="360" w:lineRule="auto"/>
        <w:ind w:left="360"/>
        <w:rPr>
          <w:sz w:val="24"/>
          <w:szCs w:val="24"/>
        </w:rPr>
      </w:pPr>
      <w:r>
        <w:rPr>
          <w:sz w:val="24"/>
          <w:szCs w:val="24"/>
        </w:rPr>
        <w:t xml:space="preserve">i)  </w:t>
      </w:r>
      <w:r>
        <w:rPr>
          <w:rFonts w:hint="eastAsia" w:cs="宋体"/>
          <w:sz w:val="24"/>
          <w:szCs w:val="24"/>
        </w:rPr>
        <w:t>校准环境的描述；</w:t>
      </w:r>
    </w:p>
    <w:p w14:paraId="3D09B2DF">
      <w:pPr>
        <w:spacing w:line="360" w:lineRule="auto"/>
        <w:ind w:left="360"/>
        <w:rPr>
          <w:sz w:val="24"/>
          <w:szCs w:val="24"/>
        </w:rPr>
      </w:pPr>
      <w:r>
        <w:rPr>
          <w:sz w:val="24"/>
          <w:szCs w:val="24"/>
        </w:rPr>
        <w:t xml:space="preserve">j)  </w:t>
      </w:r>
      <w:r>
        <w:rPr>
          <w:rFonts w:hint="eastAsia" w:cs="宋体"/>
          <w:sz w:val="24"/>
          <w:szCs w:val="24"/>
        </w:rPr>
        <w:t>校准结果及其测量不确定度的说明；</w:t>
      </w:r>
    </w:p>
    <w:p w14:paraId="381FE26A">
      <w:pPr>
        <w:spacing w:line="360" w:lineRule="auto"/>
        <w:ind w:left="360"/>
        <w:rPr>
          <w:sz w:val="24"/>
          <w:szCs w:val="24"/>
        </w:rPr>
      </w:pPr>
      <w:r>
        <w:rPr>
          <w:sz w:val="24"/>
          <w:szCs w:val="24"/>
        </w:rPr>
        <w:t xml:space="preserve">k)  </w:t>
      </w:r>
      <w:r>
        <w:rPr>
          <w:rFonts w:hint="eastAsia"/>
          <w:sz w:val="24"/>
        </w:rPr>
        <w:t>对校准规范偏离的说明；</w:t>
      </w:r>
    </w:p>
    <w:p w14:paraId="3A3DC856">
      <w:pPr>
        <w:spacing w:line="360" w:lineRule="auto"/>
        <w:ind w:left="360"/>
        <w:rPr>
          <w:sz w:val="24"/>
          <w:szCs w:val="24"/>
        </w:rPr>
      </w:pPr>
      <w:r>
        <w:rPr>
          <w:rFonts w:hint="eastAsia"/>
          <w:sz w:val="24"/>
          <w:szCs w:val="24"/>
        </w:rPr>
        <w:t>l</w:t>
      </w:r>
      <w:r>
        <w:rPr>
          <w:sz w:val="24"/>
          <w:szCs w:val="24"/>
        </w:rPr>
        <w:t xml:space="preserve">)  </w:t>
      </w:r>
      <w:r>
        <w:rPr>
          <w:rFonts w:hint="eastAsia" w:cs="宋体"/>
          <w:sz w:val="24"/>
          <w:szCs w:val="24"/>
        </w:rPr>
        <w:t>校准证书或校准报告签发人的签名、职务或等效标识、以及签发日期；</w:t>
      </w:r>
    </w:p>
    <w:p w14:paraId="6F3B5E2F">
      <w:pPr>
        <w:spacing w:line="360" w:lineRule="auto"/>
        <w:ind w:left="360"/>
        <w:rPr>
          <w:sz w:val="24"/>
          <w:szCs w:val="24"/>
        </w:rPr>
      </w:pPr>
      <w:r>
        <w:rPr>
          <w:sz w:val="24"/>
          <w:szCs w:val="24"/>
        </w:rPr>
        <w:t xml:space="preserve">m)  </w:t>
      </w:r>
      <w:r>
        <w:rPr>
          <w:rFonts w:hint="eastAsia" w:cs="宋体"/>
          <w:sz w:val="24"/>
          <w:szCs w:val="24"/>
        </w:rPr>
        <w:t>校准结果仅对被校对象有效的声明；</w:t>
      </w:r>
    </w:p>
    <w:p w14:paraId="53993433">
      <w:pPr>
        <w:spacing w:line="360" w:lineRule="auto"/>
        <w:ind w:left="360"/>
        <w:rPr>
          <w:rFonts w:ascii="Arial" w:hAnsi="Arial" w:cs="Arial"/>
          <w:sz w:val="24"/>
          <w:szCs w:val="24"/>
        </w:rPr>
      </w:pPr>
      <w:r>
        <w:rPr>
          <w:sz w:val="24"/>
          <w:szCs w:val="24"/>
        </w:rPr>
        <w:t xml:space="preserve">n)  </w:t>
      </w:r>
      <w:r>
        <w:rPr>
          <w:rFonts w:hint="eastAsia" w:cs="宋体"/>
          <w:sz w:val="24"/>
          <w:szCs w:val="24"/>
        </w:rPr>
        <w:t>未经实验室书面批准，不得部分复制证书的声明。</w:t>
      </w:r>
    </w:p>
    <w:p w14:paraId="37745D92">
      <w:pPr>
        <w:pStyle w:val="2"/>
        <w:spacing w:line="480" w:lineRule="auto"/>
        <w:ind w:firstLine="0" w:firstLineChars="0"/>
        <w:rPr>
          <w:rFonts w:eastAsia="黑体"/>
          <w:sz w:val="24"/>
          <w:szCs w:val="24"/>
        </w:rPr>
      </w:pPr>
      <w:bookmarkStart w:id="44" w:name="_Toc150424200"/>
      <w:r>
        <w:rPr>
          <w:rFonts w:hint="eastAsia" w:eastAsia="黑体"/>
          <w:sz w:val="24"/>
          <w:szCs w:val="24"/>
        </w:rPr>
        <w:t>8  复校时间间隔</w:t>
      </w:r>
      <w:bookmarkEnd w:id="44"/>
    </w:p>
    <w:p w14:paraId="06368A1A">
      <w:pPr>
        <w:spacing w:line="360" w:lineRule="auto"/>
        <w:ind w:firstLine="480" w:firstLineChars="200"/>
        <w:rPr>
          <w:rFonts w:ascii="Arial" w:hAnsi="Arial" w:cs="Arial"/>
          <w:sz w:val="24"/>
          <w:szCs w:val="24"/>
        </w:rPr>
      </w:pPr>
      <w:r>
        <w:rPr>
          <w:rFonts w:hint="eastAsia" w:cs="宋体"/>
          <w:sz w:val="24"/>
          <w:szCs w:val="24"/>
        </w:rPr>
        <w:t>仪器的复校时间间隔建议不超过1年。由于复校时间间隔的长短是由仪器的使用情况、使用者、仪器本身质量等诸因素所决定的，因此送校单位可根据实际使用情况自主决定复校时间间隔。如果对仪器的检测数据有怀疑或仪器更换主要部件及修理后应对仪器重新校准。</w:t>
      </w:r>
    </w:p>
    <w:p w14:paraId="755CB5AC">
      <w:pPr>
        <w:rPr>
          <w:rFonts w:ascii="Arial" w:hAnsi="Arial" w:cs="Arial"/>
        </w:rPr>
      </w:pPr>
    </w:p>
    <w:p w14:paraId="00B28A77">
      <w:pPr>
        <w:rPr>
          <w:rFonts w:ascii="Arial" w:hAnsi="Arial" w:cs="Arial"/>
        </w:rPr>
      </w:pPr>
    </w:p>
    <w:p w14:paraId="5C7697D3">
      <w:pPr>
        <w:rPr>
          <w:rFonts w:ascii="Arial" w:hAnsi="Arial" w:cs="Arial"/>
        </w:rPr>
      </w:pPr>
    </w:p>
    <w:p w14:paraId="4CAB5404">
      <w:pPr>
        <w:rPr>
          <w:rFonts w:ascii="Arial" w:hAnsi="Arial" w:cs="Arial"/>
        </w:rPr>
      </w:pPr>
    </w:p>
    <w:p w14:paraId="63C30501">
      <w:pPr>
        <w:rPr>
          <w:rFonts w:ascii="Arial" w:hAnsi="Arial" w:cs="Arial"/>
        </w:rPr>
      </w:pPr>
      <w:r>
        <w:rPr>
          <w:rFonts w:ascii="Arial" w:hAnsi="Arial" w:cs="Arial"/>
        </w:rPr>
        <w:br w:type="page"/>
      </w:r>
    </w:p>
    <w:p w14:paraId="44671CDE">
      <w:pPr>
        <w:spacing w:line="264" w:lineRule="auto"/>
        <w:jc w:val="left"/>
        <w:rPr>
          <w:rStyle w:val="21"/>
          <w:rFonts w:hint="eastAsia" w:ascii="黑体" w:hAnsi="黑体" w:eastAsia="黑体"/>
          <w:sz w:val="28"/>
          <w:szCs w:val="28"/>
        </w:rPr>
      </w:pPr>
      <w:bookmarkStart w:id="45" w:name="_Toc150424201"/>
      <w:r>
        <w:rPr>
          <w:rStyle w:val="21"/>
          <w:rFonts w:ascii="黑体" w:hAnsi="黑体" w:eastAsia="黑体"/>
          <w:sz w:val="28"/>
          <w:szCs w:val="28"/>
        </w:rPr>
        <w:t>附录</w:t>
      </w:r>
      <w:r>
        <w:rPr>
          <w:rStyle w:val="21"/>
          <w:rFonts w:hint="eastAsia" w:ascii="黑体" w:hAnsi="黑体" w:eastAsia="黑体"/>
          <w:sz w:val="28"/>
          <w:szCs w:val="28"/>
        </w:rPr>
        <w:t>A</w:t>
      </w:r>
    </w:p>
    <w:p w14:paraId="6387D7DF">
      <w:pPr>
        <w:spacing w:line="360" w:lineRule="auto"/>
        <w:jc w:val="center"/>
        <w:rPr>
          <w:rFonts w:eastAsia="黑体"/>
          <w:sz w:val="28"/>
        </w:rPr>
      </w:pPr>
      <w:r>
        <w:rPr>
          <w:rFonts w:hint="eastAsia" w:eastAsia="黑体"/>
          <w:sz w:val="28"/>
        </w:rPr>
        <w:t xml:space="preserve">校准结果不确定度评定示例 </w:t>
      </w:r>
    </w:p>
    <w:p w14:paraId="74FDB2FA">
      <w:pPr>
        <w:spacing w:line="360" w:lineRule="auto"/>
        <w:rPr>
          <w:rFonts w:ascii="黑体" w:hAnsi="Cambria Math" w:eastAsia="黑体"/>
        </w:rPr>
      </w:pPr>
      <w:r>
        <w:rPr>
          <w:rFonts w:hint="eastAsia" w:ascii="黑体" w:hAnsi="Cambria Math" w:eastAsia="黑体"/>
        </w:rPr>
        <w:t>A</w:t>
      </w:r>
      <w:r>
        <w:rPr>
          <w:rFonts w:ascii="黑体" w:hAnsi="Cambria Math" w:eastAsia="黑体"/>
        </w:rPr>
        <w:t>1 辐射照度示值误差校准不确定度评定示例</w:t>
      </w:r>
    </w:p>
    <w:p w14:paraId="43C81688">
      <w:pPr>
        <w:spacing w:line="360" w:lineRule="auto"/>
      </w:pPr>
      <w:r>
        <w:rPr>
          <w:rFonts w:hint="eastAsia" w:ascii="黑体" w:hAnsi="Cambria Math" w:eastAsia="黑体"/>
        </w:rPr>
        <w:t>A</w:t>
      </w:r>
      <w:r>
        <w:rPr>
          <w:rFonts w:ascii="黑体" w:hAnsi="Cambria Math" w:eastAsia="黑体"/>
        </w:rPr>
        <w:t>1</w:t>
      </w:r>
      <w:r>
        <w:rPr>
          <w:rFonts w:hint="eastAsia"/>
        </w:rPr>
        <w:t>.1 测量方法</w:t>
      </w:r>
    </w:p>
    <w:p w14:paraId="6E154708">
      <w:pPr>
        <w:spacing w:line="360" w:lineRule="auto"/>
        <w:ind w:firstLine="420" w:firstLineChars="200"/>
        <w:rPr>
          <w:rFonts w:hint="eastAsia" w:hAnsi="宋体"/>
        </w:rPr>
      </w:pPr>
      <w:r>
        <w:rPr>
          <w:rFonts w:hAnsi="宋体"/>
        </w:rPr>
        <w:t>按照本规范所述方法，采用不确定度为</w:t>
      </w:r>
      <w:r>
        <w:t>3%（</w:t>
      </w:r>
      <w:r>
        <w:rPr>
          <w:i/>
        </w:rPr>
        <w:t>k</w:t>
      </w:r>
      <w:r>
        <w:t>=2</w:t>
      </w:r>
      <w:r>
        <w:rPr>
          <w:rFonts w:hAnsi="宋体"/>
        </w:rPr>
        <w:t>）标准辐射热计</w:t>
      </w:r>
      <w:r>
        <w:rPr>
          <w:rFonts w:hint="eastAsia"/>
        </w:rPr>
        <w:t>，</w:t>
      </w:r>
      <w:r>
        <w:rPr>
          <w:rFonts w:hAnsi="宋体"/>
        </w:rPr>
        <w:t>以</w:t>
      </w:r>
      <w:r>
        <w:rPr>
          <w:rFonts w:hint="eastAsia" w:hAnsi="宋体"/>
        </w:rPr>
        <w:t>校准</w:t>
      </w:r>
      <w:r>
        <w:rPr>
          <w:rFonts w:hAnsi="宋体"/>
        </w:rPr>
        <w:t>点</w:t>
      </w:r>
      <w:r>
        <w:t>50kW/m</w:t>
      </w:r>
      <w:r>
        <w:rPr>
          <w:vertAlign w:val="superscript"/>
        </w:rPr>
        <w:t>2</w:t>
      </w:r>
      <w:r>
        <w:t>为</w:t>
      </w:r>
      <w:r>
        <w:rPr>
          <w:rFonts w:hAnsi="宋体"/>
        </w:rPr>
        <w:t>例对辐射热计校准结果进行不确定度评定。标准辐射热计</w:t>
      </w:r>
      <w:r>
        <w:rPr>
          <w:rFonts w:hint="eastAsia" w:hAnsi="宋体"/>
        </w:rPr>
        <w:t>和仪器</w:t>
      </w:r>
      <w:r>
        <w:rPr>
          <w:rFonts w:hAnsi="宋体"/>
        </w:rPr>
        <w:t>工作用辐射热计交替</w:t>
      </w:r>
      <w:r>
        <w:rPr>
          <w:rFonts w:hint="eastAsia" w:hAnsi="宋体"/>
        </w:rPr>
        <w:t>分别</w:t>
      </w:r>
      <w:r>
        <w:rPr>
          <w:rFonts w:hAnsi="宋体"/>
        </w:rPr>
        <w:t>测量3次，</w:t>
      </w:r>
      <w:r>
        <w:rPr>
          <w:rFonts w:hint="eastAsia" w:hAnsi="宋体"/>
        </w:rPr>
        <w:t>取各自</w:t>
      </w:r>
      <w:r>
        <w:rPr>
          <w:rFonts w:hAnsi="宋体"/>
        </w:rPr>
        <w:t>3次测量值的算术平均值分别作为标准辐射热计的标准值</w:t>
      </w:r>
      <m:oMath>
        <m:sSub>
          <m:sSubPr>
            <m:ctrlPr>
              <w:rPr>
                <w:rFonts w:ascii="Cambria Math" w:hAnsi="Cambria Math"/>
                <w:color w:val="0000FF"/>
              </w:rPr>
            </m:ctrlPr>
          </m:sSubPr>
          <m:e>
            <m:acc>
              <m:accPr>
                <m:chr m:val="̅"/>
                <m:ctrlPr>
                  <w:rPr>
                    <w:rFonts w:ascii="Cambria Math" w:hAnsi="Cambria Math"/>
                    <w:color w:val="0000FF"/>
                  </w:rPr>
                </m:ctrlPr>
              </m:accPr>
              <m:e>
                <m:r>
                  <m:rPr/>
                  <w:rPr>
                    <w:rFonts w:ascii="Cambria Math" w:hAnsi="Cambria Math"/>
                  </w:rPr>
                  <m:t>E</m:t>
                </m:r>
                <m:ctrlPr>
                  <w:rPr>
                    <w:rFonts w:ascii="Cambria Math" w:hAnsi="Cambria Math"/>
                    <w:color w:val="0000FF"/>
                  </w:rPr>
                </m:ctrlPr>
              </m:e>
            </m:acc>
            <m:ctrlPr>
              <w:rPr>
                <w:rFonts w:ascii="Cambria Math" w:hAnsi="Cambria Math"/>
                <w:color w:val="0000FF"/>
              </w:rPr>
            </m:ctrlPr>
          </m:e>
          <m:sub>
            <m:r>
              <m:rPr/>
              <w:rPr>
                <w:rFonts w:ascii="Cambria Math" w:hAnsi="Cambria Math"/>
              </w:rPr>
              <m:t>si</m:t>
            </m:r>
            <m:ctrlPr>
              <w:rPr>
                <w:rFonts w:ascii="Cambria Math" w:hAnsi="Cambria Math"/>
                <w:color w:val="0000FF"/>
              </w:rPr>
            </m:ctrlPr>
          </m:sub>
        </m:sSub>
      </m:oMath>
      <w:r>
        <w:rPr>
          <w:rFonts w:hint="eastAsia" w:hAnsi="宋体"/>
        </w:rPr>
        <w:t>和仪器工作用辐射热计的测量值</w:t>
      </w:r>
      <m:oMath>
        <m:sSub>
          <m:sSubPr>
            <m:ctrlPr>
              <w:rPr>
                <w:rFonts w:ascii="Cambria Math" w:hAnsi="Cambria Math"/>
                <w:i/>
                <w:color w:val="0000FF"/>
              </w:rPr>
            </m:ctrlPr>
          </m:sSubPr>
          <m:e>
            <m:acc>
              <m:accPr>
                <m:chr m:val="̅"/>
                <m:ctrlPr>
                  <w:rPr>
                    <w:rFonts w:ascii="Cambria Math" w:hAnsi="Cambria Math"/>
                    <w:i/>
                    <w:color w:val="0000FF"/>
                  </w:rPr>
                </m:ctrlPr>
              </m:accPr>
              <m:e>
                <m:r>
                  <m:rPr/>
                  <w:rPr>
                    <w:rFonts w:ascii="Cambria Math" w:hAnsi="Cambria Math"/>
                  </w:rPr>
                  <m:t>E</m:t>
                </m:r>
                <m:ctrlPr>
                  <w:rPr>
                    <w:rFonts w:ascii="Cambria Math" w:hAnsi="Cambria Math"/>
                    <w:i/>
                    <w:color w:val="0000FF"/>
                  </w:rPr>
                </m:ctrlPr>
              </m:e>
            </m:acc>
            <m:ctrlPr>
              <w:rPr>
                <w:rFonts w:ascii="Cambria Math" w:hAnsi="Cambria Math"/>
                <w:i/>
                <w:color w:val="0000FF"/>
              </w:rPr>
            </m:ctrlPr>
          </m:e>
          <m:sub>
            <m:r>
              <m:rPr/>
              <w:rPr>
                <w:rFonts w:ascii="Cambria Math" w:hAnsi="Cambria Math"/>
              </w:rPr>
              <m:t>i</m:t>
            </m:r>
            <m:ctrlPr>
              <w:rPr>
                <w:rFonts w:ascii="Cambria Math" w:hAnsi="Cambria Math"/>
                <w:i/>
                <w:color w:val="0000FF"/>
              </w:rPr>
            </m:ctrlPr>
          </m:sub>
        </m:sSub>
      </m:oMath>
      <w:r>
        <w:rPr>
          <w:rFonts w:hint="eastAsia" w:hAnsi="宋体"/>
        </w:rPr>
        <w:t>。</w:t>
      </w:r>
    </w:p>
    <w:p w14:paraId="4152DFC3">
      <w:pPr>
        <w:spacing w:line="360" w:lineRule="auto"/>
      </w:pPr>
      <w:r>
        <w:rPr>
          <w:rFonts w:hint="eastAsia" w:ascii="黑体" w:hAnsi="Cambria Math" w:eastAsia="黑体"/>
        </w:rPr>
        <w:t>A</w:t>
      </w:r>
      <w:r>
        <w:rPr>
          <w:rFonts w:ascii="黑体" w:hAnsi="Cambria Math" w:eastAsia="黑体"/>
        </w:rPr>
        <w:t>1</w:t>
      </w:r>
      <w:r>
        <w:rPr>
          <w:rFonts w:hint="eastAsia"/>
        </w:rPr>
        <w:t>.</w:t>
      </w:r>
      <w:r>
        <w:t xml:space="preserve">2 </w:t>
      </w:r>
      <w:bookmarkStart w:id="46" w:name="_Hlk56487967"/>
      <w:r>
        <w:t>测量模型</w:t>
      </w:r>
      <w:r>
        <w:rPr>
          <w:rFonts w:hint="eastAsia" w:hAnsiTheme="minorEastAsia" w:eastAsiaTheme="minorEastAsia"/>
        </w:rPr>
        <w:t>和不确定度传播公式</w:t>
      </w:r>
    </w:p>
    <w:p w14:paraId="235F1E5F">
      <w:pPr>
        <w:spacing w:line="360" w:lineRule="auto"/>
        <w:ind w:firstLine="420" w:firstLineChars="200"/>
      </w:pPr>
      <w:r>
        <w:rPr>
          <w:rFonts w:hint="eastAsia"/>
        </w:rPr>
        <w:t>辐射照度的示值误差</w:t>
      </w:r>
      <m:oMath>
        <m:r>
          <m:rPr>
            <m:sty m:val="p"/>
          </m:rPr>
          <w:rPr>
            <w:rFonts w:ascii="Cambria Math" w:hAnsi="Cambria Math"/>
          </w:rPr>
          <m:t>∆</m:t>
        </m:r>
        <m:r>
          <m:rPr/>
          <w:rPr>
            <w:rFonts w:hint="eastAsia" w:ascii="Cambria Math" w:hAnsi="Cambria Math"/>
          </w:rPr>
          <m:t>E</m:t>
        </m:r>
      </m:oMath>
      <w:r>
        <w:t>可按照</w:t>
      </w:r>
      <w:r>
        <w:rPr>
          <w:rFonts w:hint="eastAsia"/>
        </w:rPr>
        <w:t>下式</w:t>
      </w:r>
      <w:r>
        <w:t>进行计算</w:t>
      </w:r>
      <w:r>
        <w:rPr>
          <w:rFonts w:hint="eastAsia"/>
        </w:rPr>
        <w:t>：</w:t>
      </w:r>
    </w:p>
    <w:p w14:paraId="131CF6E2">
      <w:pPr>
        <w:wordWrap w:val="0"/>
        <w:spacing w:line="360" w:lineRule="auto"/>
        <w:jc w:val="right"/>
        <w:rPr>
          <w:rFonts w:hint="eastAsia" w:ascii="宋体" w:hAnsi="宋体"/>
        </w:rPr>
      </w:pPr>
      <m:oMath>
        <m:r>
          <m:rPr>
            <m:sty m:val="p"/>
          </m:rPr>
          <w:rPr>
            <w:rFonts w:ascii="Cambria Math" w:hAnsi="Cambria Math"/>
          </w:rPr>
          <m:t>∆</m:t>
        </m:r>
        <m:r>
          <m:rPr/>
          <w:rPr>
            <w:rFonts w:hint="eastAsia" w:ascii="Cambria Math" w:hAnsi="Cambria Math"/>
          </w:rPr>
          <m:t>E</m:t>
        </m:r>
        <m:r>
          <m:rPr>
            <m:sty m:val="p"/>
          </m:rPr>
          <w:rPr>
            <w:rFonts w:ascii="Cambria Math"/>
          </w:rPr>
          <m:t>=</m:t>
        </m:r>
        <m:f>
          <m:fPr>
            <m:ctrlPr>
              <w:rPr>
                <w:rFonts w:ascii="Cambria Math" w:hAnsi="Cambria Math"/>
              </w:rPr>
            </m:ctrlPr>
          </m:fPr>
          <m:num>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ctrlPr>
              <w:rPr>
                <w:rFonts w:ascii="Cambria Math" w:hAnsi="Cambria Math"/>
              </w:rPr>
            </m:ctrlPr>
          </m:num>
          <m:den>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ctrlPr>
              <w:rPr>
                <w:rFonts w:ascii="Cambria Math" w:hAnsi="Cambria Math"/>
              </w:rPr>
            </m:ctrlPr>
          </m:den>
        </m:f>
        <m:r>
          <m:rPr>
            <m:sty m:val="p"/>
          </m:rPr>
          <w:rPr>
            <w:rFonts w:ascii="Cambria Math" w:hAnsi="Cambria Math"/>
          </w:rPr>
          <m:t>×</m:t>
        </m:r>
        <m:r>
          <m:rPr>
            <m:sty m:val="p"/>
          </m:rPr>
          <w:rPr>
            <w:rFonts w:ascii="Cambria Math"/>
          </w:rPr>
          <m:t>100%</m:t>
        </m:r>
      </m:oMath>
      <w:r>
        <w:rPr>
          <w:rFonts w:hint="eastAsia"/>
        </w:rPr>
        <w:t xml:space="preserve">          </w:t>
      </w:r>
      <w:r>
        <w:t xml:space="preserve">                                     </w:t>
      </w:r>
      <w:r>
        <w:rPr>
          <w:rFonts w:hint="eastAsia"/>
        </w:rPr>
        <w:t xml:space="preserve">           (</w:t>
      </w:r>
      <w:r>
        <w:t>A.3</w:t>
      </w:r>
      <w:r>
        <w:rPr>
          <w:rFonts w:hint="eastAsia"/>
        </w:rPr>
        <w:t>)</w:t>
      </w:r>
    </w:p>
    <w:p w14:paraId="593803CF">
      <w:pPr>
        <w:spacing w:line="360" w:lineRule="auto"/>
        <w:jc w:val="left"/>
        <w:rPr>
          <w:rFonts w:hint="eastAsia" w:ascii="宋体" w:hAnsi="宋体"/>
        </w:rPr>
      </w:pPr>
      <w:r>
        <w:rPr>
          <w:rFonts w:hint="eastAsia" w:ascii="宋体" w:hAnsi="宋体"/>
        </w:rPr>
        <w:t>式中：</w:t>
      </w:r>
    </w:p>
    <w:p w14:paraId="54F6EF85">
      <w:pPr>
        <w:spacing w:line="360" w:lineRule="auto"/>
        <w:ind w:firstLine="420" w:firstLineChars="200"/>
      </w:pPr>
      <m:oMath>
        <m:r>
          <m:rPr>
            <m:sty m:val="p"/>
          </m:rPr>
          <w:rPr>
            <w:rFonts w:ascii="Cambria Math" w:hAnsi="Cambria Math"/>
          </w:rPr>
          <m:t>∆</m:t>
        </m:r>
        <m:r>
          <m:rPr/>
          <w:rPr>
            <w:rFonts w:hint="eastAsia" w:ascii="Cambria Math" w:hAnsi="Cambria Math"/>
          </w:rPr>
          <m:t>E</m:t>
        </m:r>
      </m:oMath>
      <w:r>
        <w:rPr>
          <w:rFonts w:hint="eastAsia"/>
        </w:rPr>
        <w:t>——</w:t>
      </w:r>
      <w:r>
        <w:t>辐射照度测量的示值</w:t>
      </w:r>
      <w:r>
        <w:rPr>
          <w:rFonts w:hint="eastAsia"/>
        </w:rPr>
        <w:t>相对</w:t>
      </w:r>
      <w:r>
        <w:t>误差</w:t>
      </w:r>
      <w:r>
        <w:rPr>
          <w:rFonts w:hint="eastAsia"/>
        </w:rPr>
        <w:t>；</w:t>
      </w:r>
    </w:p>
    <w:p w14:paraId="204F9A8F">
      <w:pPr>
        <w:spacing w:line="360" w:lineRule="auto"/>
        <w:ind w:firstLine="420" w:firstLineChars="200"/>
      </w:pPr>
      <m:oMath>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oMath>
      <w:r>
        <w:t>——</w:t>
      </w:r>
      <w:r>
        <w:rPr>
          <w:rFonts w:hAnsi="宋体"/>
        </w:rPr>
        <w:t>被校辐射热计</w:t>
      </w:r>
      <w:r>
        <w:rPr>
          <w:rFonts w:hint="eastAsia"/>
        </w:rPr>
        <w:t>的3次</w:t>
      </w:r>
      <w:r>
        <w:rPr>
          <w:rFonts w:hAnsi="宋体"/>
        </w:rPr>
        <w:t>测量</w:t>
      </w:r>
      <w:r>
        <w:rPr>
          <w:rFonts w:hint="eastAsia" w:hAnsi="宋体"/>
        </w:rPr>
        <w:t>平均</w:t>
      </w:r>
      <w:r>
        <w:rPr>
          <w:rFonts w:hAnsi="宋体"/>
        </w:rPr>
        <w:t>值</w:t>
      </w:r>
      <w:r>
        <w:rPr>
          <w:rFonts w:hint="eastAsia" w:hAnsi="宋体"/>
        </w:rPr>
        <w:t>，kW/m</w:t>
      </w:r>
      <w:r>
        <w:rPr>
          <w:rFonts w:hint="eastAsia" w:hAnsi="宋体"/>
          <w:vertAlign w:val="superscript"/>
        </w:rPr>
        <w:t>2</w:t>
      </w:r>
      <w:r>
        <w:rPr>
          <w:rFonts w:hAnsi="宋体"/>
        </w:rPr>
        <w:t>；</w:t>
      </w:r>
    </w:p>
    <w:p w14:paraId="28E9203D">
      <w:pPr>
        <w:spacing w:line="360" w:lineRule="auto"/>
        <w:ind w:firstLine="420" w:firstLineChars="200"/>
        <w:rPr>
          <w:rFonts w:hint="eastAsia" w:hAnsi="宋体"/>
        </w:rPr>
      </w:pPr>
      <m:oMath>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oMath>
      <w:r>
        <w:t>——</w:t>
      </w:r>
      <w:r>
        <w:rPr>
          <w:rFonts w:hAnsi="宋体"/>
        </w:rPr>
        <w:t>标准辐射热计</w:t>
      </w:r>
      <w:r>
        <w:rPr>
          <w:rFonts w:hint="eastAsia"/>
        </w:rPr>
        <w:t>的3次测量平均值</w:t>
      </w:r>
      <w:r>
        <w:rPr>
          <w:rFonts w:hint="eastAsia" w:hAnsi="宋体"/>
        </w:rPr>
        <w:t>，kW/m</w:t>
      </w:r>
      <w:r>
        <w:rPr>
          <w:rFonts w:hint="eastAsia" w:hAnsi="宋体"/>
          <w:vertAlign w:val="superscript"/>
        </w:rPr>
        <w:t>2</w:t>
      </w:r>
      <w:r>
        <w:rPr>
          <w:rFonts w:hAnsi="宋体"/>
        </w:rPr>
        <w:t>。</w:t>
      </w:r>
    </w:p>
    <w:p w14:paraId="12869828">
      <w:pPr>
        <w:spacing w:line="360" w:lineRule="auto"/>
        <w:ind w:firstLine="420"/>
      </w:pPr>
      <w:r>
        <w:rPr>
          <w:rFonts w:hint="eastAsia" w:eastAsiaTheme="minorEastAsia"/>
        </w:rPr>
        <w:t>各输入量彼此独立不相关，</w:t>
      </w:r>
      <w:r>
        <w:rPr>
          <w:rFonts w:hint="eastAsia"/>
        </w:rPr>
        <w:t>因此，示值误差的合成标准不确定度按下式计算。</w:t>
      </w:r>
    </w:p>
    <w:p w14:paraId="508801C2">
      <w:pPr>
        <w:wordWrap w:val="0"/>
        <w:spacing w:line="360" w:lineRule="auto"/>
        <w:ind w:firstLine="420"/>
        <w:jc w:val="right"/>
      </w:pP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c</m:t>
            </m:r>
            <m:ctrlPr>
              <w:rPr>
                <w:rFonts w:ascii="Cambria Math" w:hAnsi="Cambria Math"/>
                <w:i/>
              </w:rPr>
            </m:ctrlPr>
          </m:sub>
        </m:sSub>
        <m:d>
          <m:dPr>
            <m:ctrlPr>
              <w:rPr>
                <w:rFonts w:ascii="Cambria Math" w:hAnsi="Cambria Math"/>
              </w:rPr>
            </m:ctrlPr>
          </m:dPr>
          <m:e>
            <m:r>
              <m:rPr>
                <m:sty m:val="p"/>
              </m:rPr>
              <w:rPr>
                <w:rFonts w:ascii="Cambria Math" w:hAnsi="Cambria Math"/>
              </w:rPr>
              <m:t>∆</m:t>
            </m:r>
            <m:r>
              <m:rPr/>
              <w:rPr>
                <w:rFonts w:hint="eastAsia" w:ascii="Cambria Math" w:hAnsi="Cambria Math"/>
              </w:rPr>
              <m:t>E</m:t>
            </m:r>
            <m:ctrlPr>
              <w:rPr>
                <w:rFonts w:ascii="Cambria Math" w:hAnsi="Cambria Math"/>
              </w:rPr>
            </m:ctrlPr>
          </m:e>
        </m:d>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w:bookmarkStart w:id="47" w:name="_Hlk55826115"/>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r>
                  <m:rPr>
                    <m:sty m:val="p"/>
                  </m:rPr>
                  <w:rPr>
                    <w:rFonts w:ascii="Cambria Math" w:hAnsi="Cambria Math"/>
                  </w:rPr>
                  <m:t>)</m:t>
                </m:r>
                <w:bookmarkEnd w:id="47"/>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t xml:space="preserve"> </w:t>
      </w:r>
      <w:r>
        <w:rPr>
          <w:rFonts w:hint="eastAsia"/>
        </w:rPr>
        <w:t xml:space="preserve">      </w:t>
      </w:r>
      <w:r>
        <w:t xml:space="preserve">                             </w:t>
      </w:r>
      <w:r>
        <w:rPr>
          <w:rFonts w:hint="eastAsia"/>
        </w:rPr>
        <w:t xml:space="preserve">        (</w:t>
      </w:r>
      <w:r>
        <w:t>A.4</w:t>
      </w:r>
      <w:r>
        <w:rPr>
          <w:rFonts w:hint="eastAsia"/>
        </w:rPr>
        <w:t>)</w:t>
      </w:r>
    </w:p>
    <w:p w14:paraId="0CB85768">
      <w:pPr>
        <w:spacing w:line="360" w:lineRule="auto"/>
        <w:ind w:firstLine="420" w:firstLineChars="200"/>
      </w:pPr>
      <w:r>
        <w:rPr>
          <w:rFonts w:hint="eastAsia"/>
        </w:rPr>
        <w:t>其中灵敏系数：</w:t>
      </w:r>
      <m:oMath>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1</m:t>
            </m:r>
            <m:ctrlPr>
              <w:rPr>
                <w:rFonts w:ascii="Cambria Math" w:hAnsi="Cambria Math" w:eastAsiaTheme="minorEastAsia"/>
                <w:i/>
              </w:rPr>
            </m:ctrlPr>
          </m:sub>
        </m:sSub>
        <m:r>
          <m:rPr>
            <m:sty m:val="p"/>
          </m:rPr>
          <w:rPr>
            <w:rFonts w:ascii="Cambria Math" w:hAnsi="Cambria Math" w:eastAsiaTheme="minorEastAsia"/>
          </w:rPr>
          <m:t>=</m:t>
        </m:r>
        <m:f>
          <m:fPr>
            <m:ctrlPr>
              <w:rPr>
                <w:rFonts w:ascii="Cambria Math" w:hAnsi="Cambria Math" w:eastAsiaTheme="minorEastAsia"/>
              </w:rPr>
            </m:ctrlPr>
          </m:fPr>
          <m:num>
            <m:r>
              <m:rPr>
                <m:sty m:val="p"/>
              </m:rPr>
              <w:rPr>
                <w:rFonts w:ascii="Cambria Math" w:hAnsi="Cambria Math" w:eastAsiaTheme="minorEastAsia"/>
              </w:rPr>
              <m:t>1</m:t>
            </m:r>
            <m:ctrlPr>
              <w:rPr>
                <w:rFonts w:ascii="Cambria Math" w:hAnsi="Cambria Math" w:eastAsiaTheme="minorEastAsia"/>
              </w:rPr>
            </m:ctrlPr>
          </m:num>
          <m:den>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si</m:t>
                </m:r>
                <m:ctrlPr>
                  <w:rPr>
                    <w:rFonts w:ascii="Cambria Math" w:hAnsi="Cambria Math"/>
                    <w:i/>
                  </w:rPr>
                </m:ctrlPr>
              </m:sub>
            </m:sSub>
            <m:ctrlPr>
              <w:rPr>
                <w:rFonts w:ascii="Cambria Math" w:hAnsi="Cambria Math" w:eastAsiaTheme="minorEastAsia"/>
              </w:rPr>
            </m:ctrlPr>
          </m:den>
        </m:f>
      </m:oMath>
      <w:r>
        <w:rPr>
          <w:rFonts w:hint="eastAsia" w:eastAsiaTheme="minorEastAsia"/>
        </w:rPr>
        <w:t>，</w:t>
      </w:r>
      <m:oMath>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2</m:t>
            </m:r>
            <m:ctrlPr>
              <w:rPr>
                <w:rFonts w:ascii="Cambria Math" w:hAnsi="Cambria Math" w:eastAsiaTheme="minorEastAsia"/>
                <w:i/>
              </w:rPr>
            </m:ctrlPr>
          </m:sub>
        </m:sSub>
        <m:r>
          <m:rPr>
            <m:sty m:val="p"/>
          </m:rPr>
          <w:rPr>
            <w:rFonts w:ascii="Cambria Math" w:hAnsi="Cambria Math" w:eastAsiaTheme="minorEastAsia"/>
          </w:rPr>
          <m:t>=−</m:t>
        </m:r>
        <m:f>
          <m:fPr>
            <m:ctrlPr>
              <w:rPr>
                <w:rFonts w:ascii="Cambria Math" w:hAnsi="Cambria Math" w:eastAsiaTheme="minorEastAsia"/>
              </w:rPr>
            </m:ctrlPr>
          </m:fPr>
          <m:num>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ctrlPr>
              <w:rPr>
                <w:rFonts w:ascii="Cambria Math" w:hAnsi="Cambria Math" w:eastAsiaTheme="minorEastAsia"/>
              </w:rPr>
            </m:ctrlPr>
          </m:num>
          <m:den>
            <m:sSup>
              <m:sSupPr>
                <m:ctrlPr>
                  <w:rPr>
                    <w:rFonts w:ascii="Cambria Math" w:hAnsi="Cambria Math"/>
                  </w:rPr>
                </m:ctrlPr>
              </m:sSupPr>
              <m:e>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eastAsiaTheme="minorEastAsia"/>
              </w:rPr>
            </m:ctrlPr>
          </m:den>
        </m:f>
      </m:oMath>
      <w:r>
        <w:rPr>
          <w:rFonts w:hint="eastAsia" w:eastAsiaTheme="minorEastAsia"/>
        </w:rPr>
        <w:t>。</w:t>
      </w:r>
    </w:p>
    <w:p w14:paraId="16FDE1CA">
      <w:pPr>
        <w:spacing w:line="360" w:lineRule="auto"/>
      </w:pPr>
      <w:r>
        <w:rPr>
          <w:rFonts w:hint="eastAsia" w:ascii="黑体" w:hAnsi="Cambria Math" w:eastAsia="黑体"/>
        </w:rPr>
        <w:t>A</w:t>
      </w:r>
      <w:r>
        <w:rPr>
          <w:rFonts w:ascii="黑体" w:hAnsi="Cambria Math" w:eastAsia="黑体"/>
        </w:rPr>
        <w:t>1</w:t>
      </w:r>
      <w:r>
        <w:rPr>
          <w:rFonts w:hint="eastAsia"/>
        </w:rPr>
        <w:t xml:space="preserve">.3 </w:t>
      </w:r>
      <w:r>
        <w:rPr>
          <w:rFonts w:hint="eastAsia" w:eastAsiaTheme="minorEastAsia"/>
        </w:rPr>
        <w:t>标准</w:t>
      </w:r>
      <w:r>
        <w:rPr>
          <w:rFonts w:hint="eastAsia" w:hAnsiTheme="minorEastAsia" w:eastAsiaTheme="minorEastAsia"/>
        </w:rPr>
        <w:t>不确定度分量的计算</w:t>
      </w:r>
    </w:p>
    <w:p w14:paraId="24CBADEB">
      <w:pPr>
        <w:spacing w:line="360" w:lineRule="auto"/>
        <w:ind w:firstLine="465"/>
      </w:pPr>
      <w:r>
        <w:rPr>
          <w:rFonts w:hint="eastAsia"/>
        </w:rPr>
        <w:t>辐射照度示值误差的不确定度包含测量重复性引入的标准不确定度分量</w:t>
      </w:r>
      <m:oMath>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oMath>
      <w:r>
        <w:rPr>
          <w:rFonts w:hint="eastAsia"/>
        </w:rPr>
        <w:t>和标准辐射热计引入的标准不确定度分量</w:t>
      </w:r>
      <m:oMath>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hAnsi="Cambria Math"/>
              </w:rPr>
              <m:t>r</m:t>
            </m:r>
            <m:ctrlPr>
              <w:rPr>
                <w:rFonts w:ascii="Cambria Math" w:hAnsi="Cambria Math"/>
              </w:rPr>
            </m:ctrlPr>
          </m:sub>
        </m:sSub>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r>
          <m:rPr>
            <m:sty m:val="p"/>
          </m:rPr>
          <w:rPr>
            <w:rFonts w:ascii="Cambria Math" w:hAnsi="Cambria Math"/>
          </w:rPr>
          <m:t>)</m:t>
        </m:r>
      </m:oMath>
      <w:r>
        <w:rPr>
          <w:rFonts w:hint="eastAsia"/>
        </w:rPr>
        <w:t>。</w:t>
      </w:r>
    </w:p>
    <w:p w14:paraId="34DBD84E">
      <w:pPr>
        <w:snapToGrid w:val="0"/>
        <w:spacing w:line="360" w:lineRule="auto"/>
        <w:ind w:firstLine="420"/>
      </w:pPr>
      <w:r>
        <w:rPr>
          <w:rFonts w:hint="eastAsia"/>
        </w:rPr>
        <w:t>1）测量重复性引入的标准不确定度分量</w:t>
      </w:r>
      <m:oMath>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oMath>
      <w:r>
        <w:rPr>
          <w:rFonts w:hint="eastAsia"/>
        </w:rPr>
        <w:t xml:space="preserve"> </w:t>
      </w:r>
    </w:p>
    <w:p w14:paraId="7105EA32">
      <w:pPr>
        <w:snapToGrid w:val="0"/>
        <w:spacing w:line="360" w:lineRule="auto"/>
        <w:ind w:firstLine="420"/>
      </w:pPr>
      <w:r>
        <w:rPr>
          <w:rFonts w:hint="eastAsia" w:hAnsi="宋体"/>
        </w:rPr>
        <w:t>仪器</w:t>
      </w:r>
      <w:r>
        <w:rPr>
          <w:rFonts w:hAnsi="宋体"/>
        </w:rPr>
        <w:t>工作用辐射热计三次</w:t>
      </w:r>
      <w:r>
        <w:rPr>
          <w:rFonts w:hint="eastAsia" w:hAnsi="宋体"/>
        </w:rPr>
        <w:t>测量的辐射照度</w:t>
      </w:r>
      <w:r>
        <w:rPr>
          <w:rFonts w:hAnsi="宋体"/>
        </w:rPr>
        <w:t>分别为</w:t>
      </w:r>
      <w:r>
        <w:t>50.8</w:t>
      </w:r>
      <w:r>
        <w:rPr>
          <w:rFonts w:hint="eastAsia"/>
        </w:rPr>
        <w:t>kW</w:t>
      </w:r>
      <w:r>
        <w:t>/m</w:t>
      </w:r>
      <w:r>
        <w:rPr>
          <w:vertAlign w:val="superscript"/>
        </w:rPr>
        <w:t>2</w:t>
      </w:r>
      <w:r>
        <w:rPr>
          <w:rFonts w:hint="eastAsia"/>
        </w:rPr>
        <w:t>、5</w:t>
      </w:r>
      <w:r>
        <w:t>0.9</w:t>
      </w:r>
      <w:r>
        <w:rPr>
          <w:rFonts w:hint="eastAsia"/>
        </w:rPr>
        <w:t xml:space="preserve"> kW</w:t>
      </w:r>
      <w:r>
        <w:t>/m</w:t>
      </w:r>
      <w:r>
        <w:rPr>
          <w:vertAlign w:val="superscript"/>
        </w:rPr>
        <w:t>2</w:t>
      </w:r>
      <w:r>
        <w:rPr>
          <w:rFonts w:hint="eastAsia"/>
        </w:rPr>
        <w:t>、</w:t>
      </w:r>
      <w:r>
        <w:t>50.5</w:t>
      </w:r>
      <w:r>
        <w:rPr>
          <w:rFonts w:hint="eastAsia"/>
        </w:rPr>
        <w:t xml:space="preserve"> kW</w:t>
      </w:r>
      <w:r>
        <w:t>/m</w:t>
      </w:r>
      <w:r>
        <w:rPr>
          <w:vertAlign w:val="superscript"/>
        </w:rPr>
        <w:t>2</w:t>
      </w:r>
      <w:r>
        <w:t>，采</w:t>
      </w:r>
      <w:r>
        <w:rPr>
          <w:rFonts w:hint="eastAsia"/>
        </w:rPr>
        <w:t>用极差法计算单次实验标准差</w:t>
      </w:r>
      <m:oMath>
        <m:r>
          <m:rPr/>
          <w:rPr>
            <w:rFonts w:hint="eastAsia" w:ascii="Cambria Math" w:hAnsi="Cambria Math"/>
          </w:rPr>
          <m:t>s=</m:t>
        </m:r>
        <m:f>
          <m:fPr>
            <m:ctrlPr>
              <w:rPr>
                <w:rFonts w:ascii="Cambria Math" w:hAnsi="Cambria Math"/>
              </w:rPr>
            </m:ctrlPr>
          </m:fPr>
          <m:num>
            <m:r>
              <m:rPr>
                <m:sty m:val="p"/>
              </m:rPr>
              <w:rPr>
                <w:rFonts w:hint="eastAsia" w:ascii="Cambria Math" w:hAnsi="Cambria Math"/>
              </w:rPr>
              <m:t>5</m:t>
            </m:r>
            <m:r>
              <m:rPr>
                <m:sty m:val="p"/>
              </m:rPr>
              <w:rPr>
                <w:rFonts w:ascii="Cambria Math" w:hAnsi="Cambria Math"/>
              </w:rPr>
              <m:t>0.9</m:t>
            </m:r>
            <m:r>
              <m:rPr>
                <m:sty m:val="p"/>
              </m:rPr>
              <w:rPr>
                <w:rFonts w:hint="eastAsia" w:ascii="微软雅黑" w:hAnsi="微软雅黑" w:eastAsia="微软雅黑" w:cs="微软雅黑"/>
              </w:rPr>
              <m:t>−</m:t>
            </m:r>
            <m:r>
              <m:rPr>
                <m:sty m:val="p"/>
              </m:rPr>
              <w:rPr>
                <w:rFonts w:ascii="Cambria Math" w:hAnsi="Cambria Math"/>
              </w:rPr>
              <m:t>50.5</m:t>
            </m:r>
            <m:ctrlPr>
              <w:rPr>
                <w:rFonts w:ascii="Cambria Math" w:hAnsi="Cambria Math"/>
              </w:rPr>
            </m:ctrlPr>
          </m:num>
          <m:den>
            <m:r>
              <m:rPr>
                <m:sty m:val="p"/>
              </m:rPr>
              <w:rPr>
                <w:rFonts w:ascii="Cambria Math" w:hAnsi="Cambria Math"/>
              </w:rPr>
              <m:t>1.69</m:t>
            </m:r>
            <m:ctrlPr>
              <w:rPr>
                <w:rFonts w:ascii="Cambria Math" w:hAnsi="Cambria Math"/>
              </w:rPr>
            </m:ctrlPr>
          </m:den>
        </m:f>
        <m:r>
          <m:rPr>
            <m:sty m:val="p"/>
          </m:rPr>
          <w:rPr>
            <w:rFonts w:hint="eastAsia" w:ascii="Cambria Math" w:hAnsi="Cambria Math"/>
          </w:rPr>
          <m:t>kW</m:t>
        </m:r>
        <m:r>
          <m:rPr>
            <m:sty m:val="p"/>
          </m:rPr>
          <w:rPr>
            <w:rFonts w:ascii="Cambria Math" w:hAnsi="Cambria Math"/>
          </w:rPr>
          <m:t xml:space="preserve">=0.237 </m:t>
        </m:r>
        <m:r>
          <m:rPr>
            <m:sty m:val="p"/>
          </m:rPr>
          <w:rPr>
            <w:rFonts w:hint="eastAsia" w:ascii="Cambria Math" w:hAnsi="Cambria Math"/>
          </w:rPr>
          <m:t>kW</m:t>
        </m:r>
      </m:oMath>
      <w:r>
        <w:rPr>
          <w:rFonts w:hint="eastAsia"/>
        </w:rPr>
        <w:t>，校准时采用3次测量结果的平均值，则测量重复性的引入的标准不确定度分量为：</w:t>
      </w:r>
    </w:p>
    <w:p w14:paraId="0AF67368">
      <w:pPr>
        <w:snapToGrid w:val="0"/>
        <w:spacing w:line="360" w:lineRule="auto"/>
        <w:ind w:firstLine="420"/>
      </w:pPr>
      <m:oMathPara>
        <m:oMath>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f>
            <m:fPr>
              <m:ctrlPr>
                <w:rPr>
                  <w:rFonts w:ascii="Cambria Math" w:hAnsi="Cambria Math"/>
                </w:rPr>
              </m:ctrlPr>
            </m:fPr>
            <m:num>
              <m:r>
                <m:rPr/>
                <w:rPr>
                  <w:rFonts w:hint="eastAsia" w:ascii="Cambria Math" w:hAnsi="Cambria Math"/>
                </w:rPr>
                <m:t>s</m:t>
              </m:r>
              <m:ctrlPr>
                <w:rPr>
                  <w:rFonts w:ascii="Cambria Math" w:hAnsi="Cambria Math"/>
                </w:rPr>
              </m:ctrlPr>
            </m:num>
            <m:den>
              <m:rad>
                <m:radPr>
                  <m:degHide m:val="1"/>
                  <m:ctrlPr>
                    <w:rPr>
                      <w:rFonts w:ascii="Cambria Math" w:hAnsi="Cambria Math"/>
                      <w:i/>
                    </w:rPr>
                  </m:ctrlPr>
                </m:radPr>
                <m:deg>
                  <m:ctrlPr>
                    <w:rPr>
                      <w:rFonts w:ascii="Cambria Math" w:hAnsi="Cambria Math"/>
                      <w:i/>
                    </w:rPr>
                  </m:ctrlPr>
                </m:deg>
                <m:e>
                  <m:r>
                    <m:rPr/>
                    <w:rPr>
                      <w:rFonts w:hint="eastAsia" w:ascii="Cambria Math" w:hAnsi="Cambria Math"/>
                    </w:rPr>
                    <m:t>n</m:t>
                  </m:r>
                  <m:ctrlPr>
                    <w:rPr>
                      <w:rFonts w:ascii="Cambria Math" w:hAnsi="Cambria Math"/>
                      <w:i/>
                    </w:rPr>
                  </m:ctrlPr>
                </m:e>
              </m:rad>
              <m:ctrlPr>
                <w:rPr>
                  <w:rFonts w:ascii="Cambria Math" w:hAnsi="Cambria Math"/>
                </w:rPr>
              </m:ctrlPr>
            </m:den>
          </m:f>
          <m:r>
            <m:rPr/>
            <w:rPr>
              <w:rFonts w:hint="eastAsia" w:ascii="Cambria Math" w:hAnsi="Cambria Math"/>
            </w:rPr>
            <m:t>=</m:t>
          </m:r>
          <m:f>
            <m:fPr>
              <m:ctrlPr>
                <w:rPr>
                  <w:rFonts w:ascii="Cambria Math" w:hAnsi="Cambria Math"/>
                </w:rPr>
              </m:ctrlPr>
            </m:fPr>
            <m:num>
              <m:r>
                <m:rPr>
                  <m:sty m:val="p"/>
                </m:rPr>
                <w:rPr>
                  <w:rFonts w:ascii="Cambria Math" w:hAnsi="Cambria Math"/>
                </w:rPr>
                <m:t xml:space="preserve">0.237 </m:t>
              </m:r>
              <m:r>
                <m:rPr>
                  <m:sty m:val="p"/>
                </m:rPr>
                <w:rPr>
                  <w:rFonts w:hint="eastAsia" w:ascii="Cambria Math" w:hAnsi="Cambria Math"/>
                </w:rPr>
                <m:t>kW</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den>
          </m:f>
          <m:r>
            <m:rPr>
              <m:sty m:val="p"/>
            </m:rPr>
            <w:rPr>
              <w:rFonts w:ascii="Cambria Math" w:hAnsi="Cambria Math"/>
            </w:rPr>
            <m:t>=0.134</m:t>
          </m:r>
          <m:r>
            <m:rPr>
              <m:sty m:val="p"/>
            </m:rPr>
            <w:rPr>
              <w:rFonts w:hint="eastAsia" w:ascii="Cambria Math" w:hAnsi="Cambria Math"/>
            </w:rPr>
            <m:t>kW</m:t>
          </m:r>
        </m:oMath>
      </m:oMathPara>
    </w:p>
    <w:p w14:paraId="2BB61E58">
      <w:pPr>
        <w:spacing w:line="360" w:lineRule="auto"/>
        <w:ind w:firstLine="420"/>
      </w:pPr>
      <w:r>
        <w:rPr>
          <w:rFonts w:hint="eastAsia"/>
        </w:rPr>
        <w:t>2）标准辐射热计引入的标准不确定度分量</w:t>
      </w:r>
      <m:oMath>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r>
          <m:rPr>
            <m:sty m:val="p"/>
          </m:rPr>
          <w:rPr>
            <w:rFonts w:ascii="Cambria Math" w:hAnsi="Cambria Math"/>
          </w:rPr>
          <m:t>)</m:t>
        </m:r>
      </m:oMath>
    </w:p>
    <w:p w14:paraId="04B6ED57">
      <w:pPr>
        <w:snapToGrid w:val="0"/>
        <w:spacing w:line="360" w:lineRule="auto"/>
        <w:ind w:firstLine="420"/>
        <w:jc w:val="left"/>
      </w:pPr>
      <w:r>
        <w:rPr>
          <w:rFonts w:hint="eastAsia" w:ascii="宋体" w:hAnsi="宋体"/>
        </w:rPr>
        <w:t>采用的标准辐射热计经计量技术机构校准，其测量不确定度</w:t>
      </w:r>
      <m:oMath>
        <m:r>
          <m:rPr/>
          <w:rPr>
            <w:rFonts w:hint="eastAsia" w:ascii="Cambria Math" w:hAnsi="Cambria Math"/>
          </w:rPr>
          <m:t>U=</m:t>
        </m:r>
        <m:r>
          <m:rPr/>
          <w:rPr>
            <w:rFonts w:ascii="Cambria Math" w:hAnsi="Cambria Math"/>
          </w:rPr>
          <m:t>3</m:t>
        </m:r>
        <m:r>
          <m:rPr/>
          <w:rPr>
            <w:rFonts w:hint="eastAsia" w:ascii="Cambria Math" w:hAnsi="Cambria Math"/>
          </w:rPr>
          <m:t>%</m:t>
        </m:r>
        <m:r>
          <m:rPr>
            <m:sty m:val="p"/>
          </m:rPr>
          <w:rPr>
            <w:rFonts w:hint="eastAsia" w:ascii="Cambria Math" w:hAnsi="Cambria Math"/>
          </w:rPr>
          <m:t>（</m:t>
        </m:r>
        <m:r>
          <m:rPr/>
          <w:rPr>
            <w:rFonts w:hint="eastAsia" w:ascii="Cambria Math" w:hAnsi="Cambria Math"/>
          </w:rPr>
          <m:t>k=</m:t>
        </m:r>
        <m:r>
          <m:rPr/>
          <w:rPr>
            <w:rFonts w:ascii="Cambria Math" w:hAnsi="Cambria Math"/>
          </w:rPr>
          <m:t>2</m:t>
        </m:r>
        <m:r>
          <m:rPr>
            <m:sty m:val="p"/>
          </m:rPr>
          <w:rPr>
            <w:rFonts w:hint="eastAsia" w:ascii="Cambria Math" w:hAnsi="Cambria Math"/>
          </w:rPr>
          <m:t>）</m:t>
        </m:r>
      </m:oMath>
      <w:r>
        <w:rPr>
          <w:rFonts w:hint="eastAsia" w:ascii="宋体" w:hAnsi="宋体"/>
        </w:rPr>
        <w:t>,标准辐射热计的三次测量值分别为</w:t>
      </w:r>
      <w:r>
        <w:t>50.2</w:t>
      </w:r>
      <w:r>
        <w:rPr>
          <w:rFonts w:hint="eastAsia"/>
        </w:rPr>
        <w:t>kW</w:t>
      </w:r>
      <w:r>
        <w:t>/m</w:t>
      </w:r>
      <w:r>
        <w:rPr>
          <w:vertAlign w:val="superscript"/>
        </w:rPr>
        <w:t>2</w:t>
      </w:r>
      <w:r>
        <w:rPr>
          <w:rFonts w:hint="eastAsia"/>
        </w:rPr>
        <w:t>、</w:t>
      </w:r>
      <w:r>
        <w:t>49.9</w:t>
      </w:r>
      <w:r>
        <w:rPr>
          <w:rFonts w:hint="eastAsia"/>
        </w:rPr>
        <w:t xml:space="preserve"> kW</w:t>
      </w:r>
      <w:r>
        <w:t>/m</w:t>
      </w:r>
      <w:r>
        <w:rPr>
          <w:vertAlign w:val="superscript"/>
        </w:rPr>
        <w:t>2</w:t>
      </w:r>
      <w:r>
        <w:rPr>
          <w:rFonts w:hint="eastAsia"/>
        </w:rPr>
        <w:t>、</w:t>
      </w:r>
      <w:r>
        <w:t>50.1</w:t>
      </w:r>
      <w:r>
        <w:rPr>
          <w:rFonts w:hint="eastAsia"/>
        </w:rPr>
        <w:t xml:space="preserve"> kW</w:t>
      </w:r>
      <w:r>
        <w:t>/m</w:t>
      </w:r>
      <w:r>
        <w:rPr>
          <w:vertAlign w:val="superscript"/>
        </w:rPr>
        <w:t>2</w:t>
      </w:r>
      <w:r>
        <w:rPr>
          <w:rFonts w:hint="eastAsia"/>
        </w:rPr>
        <w:t>，平均值</w:t>
      </w:r>
      <m:oMath>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r>
          <m:rPr/>
          <w:rPr>
            <w:rFonts w:hint="eastAsia" w:ascii="Cambria Math" w:hAnsi="Cambria Math"/>
          </w:rPr>
          <m:t>=</m:t>
        </m:r>
        <m:r>
          <m:rPr/>
          <w:rPr>
            <w:rFonts w:ascii="Cambria Math" w:hAnsi="Cambria Math"/>
          </w:rPr>
          <m:t xml:space="preserve">50.07 </m:t>
        </m:r>
        <m:r>
          <m:rPr>
            <m:sty m:val="p"/>
          </m:rPr>
          <w:rPr>
            <w:rFonts w:hint="eastAsia" w:ascii="Cambria Math" w:hAnsi="Cambria Math"/>
          </w:rPr>
          <m:t>kW</m:t>
        </m:r>
      </m:oMath>
      <w:r>
        <w:rPr>
          <w:rFonts w:hint="eastAsia"/>
        </w:rPr>
        <w:t>，标准辐射热计引入的标准不确定度分量为：</w:t>
      </w:r>
    </w:p>
    <w:p w14:paraId="78BBCE23">
      <w:pPr>
        <w:snapToGrid w:val="0"/>
        <w:spacing w:line="360" w:lineRule="auto"/>
        <w:ind w:firstLine="420"/>
        <w:jc w:val="left"/>
      </w:pPr>
      <m:oMathPara>
        <m:oMath>
          <m:r>
            <m:rPr/>
            <w:rPr>
              <w:rFonts w:ascii="Cambria Math" w:hAnsi="Cambria Math"/>
            </w:rPr>
            <m:t>u</m:t>
          </m:r>
          <m:d>
            <m:dPr>
              <m:ctrlPr>
                <w:rPr>
                  <w:rFonts w:ascii="Cambria Math" w:hAnsi="Cambria Math"/>
                </w:rPr>
              </m:ctrlPr>
            </m:dPr>
            <m:e>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ctrlPr>
                <w:rPr>
                  <w:rFonts w:ascii="Cambria Math" w:hAnsi="Cambria Math"/>
                </w:rPr>
              </m:ctrlPr>
            </m:e>
          </m:d>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r>
            <m:rPr/>
            <w:rPr>
              <w:rFonts w:ascii="Cambria Math" w:hAnsi="Cambria Math"/>
            </w:rPr>
            <m:t>×</m:t>
          </m:r>
          <m:f>
            <m:fPr>
              <m:ctrlPr>
                <w:rPr>
                  <w:rFonts w:ascii="Cambria Math" w:hAnsi="Cambria Math"/>
                </w:rPr>
              </m:ctrlPr>
            </m:fPr>
            <m:num>
              <m:r>
                <m:rPr/>
                <w:rPr>
                  <w:rFonts w:hint="eastAsia" w:ascii="Cambria Math" w:hAnsi="Cambria Math"/>
                </w:rPr>
                <m:t>U</m:t>
              </m:r>
              <m:ctrlPr>
                <w:rPr>
                  <w:rFonts w:ascii="Cambria Math" w:hAnsi="Cambria Math"/>
                </w:rPr>
              </m:ctrlPr>
            </m:num>
            <m:den>
              <m:r>
                <m:rPr/>
                <w:rPr>
                  <w:rFonts w:hint="eastAsia" w:ascii="Cambria Math" w:hAnsi="Cambria Math"/>
                </w:rPr>
                <m:t>k</m:t>
              </m:r>
              <m:ctrlPr>
                <w:rPr>
                  <w:rFonts w:ascii="Cambria Math" w:hAnsi="Cambria Math"/>
                </w:rPr>
              </m:ctrlPr>
            </m:den>
          </m:f>
          <m:r>
            <m:rPr/>
            <w:rPr>
              <w:rFonts w:hint="eastAsia" w:ascii="Cambria Math" w:hAnsi="Cambria Math"/>
            </w:rPr>
            <m:t>=</m:t>
          </m:r>
          <m:r>
            <m:rPr/>
            <w:rPr>
              <w:rFonts w:ascii="Cambria Math" w:hAnsi="Cambria Math"/>
            </w:rPr>
            <m:t>50.07×</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hint="eastAsia" w:ascii="Cambria Math" w:hAnsi="Cambria Math"/>
            </w:rPr>
            <m:t>kW</m:t>
          </m:r>
          <m:r>
            <m:rPr>
              <m:sty m:val="p"/>
            </m:rPr>
            <w:rPr>
              <w:rFonts w:ascii="Cambria Math" w:hAnsi="Cambria Math"/>
            </w:rPr>
            <m:t xml:space="preserve">=0.751 </m:t>
          </m:r>
          <m:r>
            <m:rPr>
              <m:sty m:val="p"/>
            </m:rPr>
            <w:rPr>
              <w:rFonts w:hint="eastAsia" w:ascii="Cambria Math" w:hAnsi="Cambria Math"/>
            </w:rPr>
            <m:t>kW</m:t>
          </m:r>
        </m:oMath>
      </m:oMathPara>
    </w:p>
    <w:p w14:paraId="57E00302">
      <w:pPr>
        <w:snapToGrid w:val="0"/>
        <w:spacing w:line="360" w:lineRule="auto"/>
      </w:pPr>
      <w:r>
        <w:rPr>
          <w:rFonts w:hint="eastAsia" w:ascii="黑体" w:hAnsi="Cambria Math" w:eastAsia="黑体"/>
        </w:rPr>
        <w:t>A</w:t>
      </w:r>
      <w:r>
        <w:rPr>
          <w:rFonts w:ascii="黑体" w:hAnsi="Cambria Math" w:eastAsia="黑体"/>
        </w:rPr>
        <w:t>1</w:t>
      </w:r>
      <w:r>
        <w:rPr>
          <w:rFonts w:hint="eastAsia"/>
        </w:rPr>
        <w:t>.4 标准不确定度分量一览表</w:t>
      </w:r>
    </w:p>
    <w:p w14:paraId="47E04BF4">
      <w:pPr>
        <w:snapToGrid w:val="0"/>
        <w:spacing w:line="360" w:lineRule="auto"/>
        <w:ind w:firstLine="420" w:firstLineChars="200"/>
      </w:pPr>
      <w:r>
        <w:rPr>
          <w:rFonts w:hint="eastAsia"/>
        </w:rPr>
        <w:t>输入量的标准不确定度分量汇总表如表</w:t>
      </w:r>
      <w:r>
        <w:t>A.2</w:t>
      </w:r>
      <w:r>
        <w:rPr>
          <w:rFonts w:hint="eastAsia"/>
        </w:rPr>
        <w:t>所示。</w:t>
      </w:r>
    </w:p>
    <w:p w14:paraId="02CE9C85">
      <w:pPr>
        <w:snapToGrid w:val="0"/>
        <w:spacing w:line="360" w:lineRule="auto"/>
        <w:ind w:firstLine="420" w:firstLineChars="200"/>
        <w:jc w:val="center"/>
      </w:pPr>
      <w:r>
        <w:rPr>
          <w:rFonts w:hint="eastAsia"/>
        </w:rPr>
        <w:t>表</w:t>
      </w:r>
      <w:r>
        <w:t>A.2</w:t>
      </w:r>
      <w:r>
        <w:rPr>
          <w:rFonts w:hint="eastAsia"/>
        </w:rPr>
        <w:t xml:space="preserve"> 辐射照度示值误差标准不确定度分量一览表</w:t>
      </w:r>
    </w:p>
    <w:tbl>
      <w:tblPr>
        <w:tblStyle w:val="16"/>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238"/>
        <w:gridCol w:w="1418"/>
        <w:gridCol w:w="1701"/>
        <w:gridCol w:w="1979"/>
      </w:tblGrid>
      <w:tr w14:paraId="791A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7" w:type="dxa"/>
            <w:vMerge w:val="restart"/>
            <w:vAlign w:val="center"/>
          </w:tcPr>
          <w:p w14:paraId="4B575BBA">
            <w:pPr>
              <w:snapToGrid w:val="0"/>
              <w:spacing w:line="360" w:lineRule="auto"/>
              <w:jc w:val="center"/>
            </w:pPr>
            <w:r>
              <w:rPr>
                <w:rFonts w:hint="eastAsia"/>
              </w:rPr>
              <w:t>不确定度来源</w:t>
            </w:r>
          </w:p>
        </w:tc>
        <w:tc>
          <w:tcPr>
            <w:tcW w:w="2656" w:type="dxa"/>
            <w:gridSpan w:val="2"/>
            <w:vAlign w:val="center"/>
          </w:tcPr>
          <w:p w14:paraId="7166DE5D">
            <w:pPr>
              <w:snapToGrid w:val="0"/>
              <w:spacing w:line="360" w:lineRule="auto"/>
              <w:jc w:val="center"/>
            </w:pPr>
            <w:r>
              <w:rPr>
                <w:rFonts w:hint="eastAsia"/>
              </w:rPr>
              <w:t>不确定度</w:t>
            </w:r>
          </w:p>
        </w:tc>
        <w:tc>
          <w:tcPr>
            <w:tcW w:w="1701" w:type="dxa"/>
            <w:vMerge w:val="restart"/>
            <w:vAlign w:val="center"/>
          </w:tcPr>
          <w:p w14:paraId="126D86EE">
            <w:pPr>
              <w:snapToGrid w:val="0"/>
              <w:spacing w:line="276" w:lineRule="auto"/>
              <w:jc w:val="center"/>
            </w:pPr>
            <w:r>
              <w:rPr>
                <w:rFonts w:hint="eastAsia"/>
              </w:rPr>
              <w:t>灵敏系数</w:t>
            </w:r>
          </w:p>
        </w:tc>
        <w:tc>
          <w:tcPr>
            <w:tcW w:w="1979" w:type="dxa"/>
            <w:vMerge w:val="restart"/>
            <w:vAlign w:val="center"/>
          </w:tcPr>
          <w:p w14:paraId="0EDE16BB">
            <w:pPr>
              <w:snapToGrid w:val="0"/>
              <w:spacing w:line="276" w:lineRule="auto"/>
              <w:jc w:val="center"/>
            </w:pPr>
            <w:r>
              <w:rPr>
                <w:rFonts w:hint="eastAsia"/>
              </w:rPr>
              <w:t>标准不确定度分量</w:t>
            </w:r>
          </w:p>
        </w:tc>
      </w:tr>
      <w:tr w14:paraId="3F48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7" w:type="dxa"/>
            <w:vMerge w:val="continue"/>
            <w:vAlign w:val="center"/>
          </w:tcPr>
          <w:p w14:paraId="10A7AC92">
            <w:pPr>
              <w:snapToGrid w:val="0"/>
              <w:spacing w:line="360" w:lineRule="auto"/>
              <w:jc w:val="center"/>
            </w:pPr>
          </w:p>
        </w:tc>
        <w:tc>
          <w:tcPr>
            <w:tcW w:w="1238" w:type="dxa"/>
            <w:vAlign w:val="center"/>
          </w:tcPr>
          <w:p w14:paraId="0B941491">
            <w:pPr>
              <w:snapToGrid w:val="0"/>
              <w:spacing w:line="360" w:lineRule="auto"/>
              <w:jc w:val="center"/>
            </w:pPr>
            <w:r>
              <w:rPr>
                <w:rFonts w:hint="eastAsia"/>
              </w:rPr>
              <w:t>符号</w:t>
            </w:r>
          </w:p>
        </w:tc>
        <w:tc>
          <w:tcPr>
            <w:tcW w:w="1418" w:type="dxa"/>
            <w:vAlign w:val="center"/>
          </w:tcPr>
          <w:p w14:paraId="4AE5A2A4">
            <w:pPr>
              <w:snapToGrid w:val="0"/>
              <w:spacing w:line="360" w:lineRule="auto"/>
              <w:jc w:val="center"/>
            </w:pPr>
            <w:r>
              <w:rPr>
                <w:rFonts w:hint="eastAsia"/>
              </w:rPr>
              <w:t>数值</w:t>
            </w:r>
          </w:p>
        </w:tc>
        <w:tc>
          <w:tcPr>
            <w:tcW w:w="1701" w:type="dxa"/>
            <w:vMerge w:val="continue"/>
          </w:tcPr>
          <w:p w14:paraId="669D4E9C">
            <w:pPr>
              <w:snapToGrid w:val="0"/>
              <w:spacing w:line="360" w:lineRule="auto"/>
              <w:jc w:val="center"/>
            </w:pPr>
          </w:p>
        </w:tc>
        <w:tc>
          <w:tcPr>
            <w:tcW w:w="1979" w:type="dxa"/>
            <w:vMerge w:val="continue"/>
            <w:vAlign w:val="center"/>
          </w:tcPr>
          <w:p w14:paraId="3BDD9921">
            <w:pPr>
              <w:snapToGrid w:val="0"/>
              <w:spacing w:line="360" w:lineRule="auto"/>
              <w:jc w:val="center"/>
            </w:pPr>
          </w:p>
        </w:tc>
      </w:tr>
      <w:tr w14:paraId="1740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7" w:type="dxa"/>
            <w:vAlign w:val="center"/>
          </w:tcPr>
          <w:p w14:paraId="54DA4C28">
            <w:pPr>
              <w:snapToGrid w:val="0"/>
              <w:spacing w:line="360" w:lineRule="auto"/>
              <w:jc w:val="center"/>
            </w:pPr>
            <w:r>
              <w:rPr>
                <w:rFonts w:hint="eastAsia"/>
              </w:rPr>
              <w:t>测量重复性</w:t>
            </w:r>
          </w:p>
        </w:tc>
        <w:tc>
          <w:tcPr>
            <w:tcW w:w="1238" w:type="dxa"/>
            <w:vAlign w:val="center"/>
          </w:tcPr>
          <w:p w14:paraId="55A86D7A">
            <w:pPr>
              <w:snapToGrid w:val="0"/>
              <w:spacing w:line="360" w:lineRule="auto"/>
              <w:jc w:val="center"/>
            </w:pPr>
            <m:oMathPara>
              <m:oMath>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oMath>
            </m:oMathPara>
          </w:p>
        </w:tc>
        <w:tc>
          <w:tcPr>
            <w:tcW w:w="1418" w:type="dxa"/>
            <w:vAlign w:val="center"/>
          </w:tcPr>
          <w:p w14:paraId="397CBE15">
            <w:pPr>
              <w:snapToGrid w:val="0"/>
              <w:spacing w:line="360" w:lineRule="auto"/>
              <w:jc w:val="center"/>
            </w:pPr>
            <w:r>
              <w:t xml:space="preserve">0.134 </w:t>
            </w:r>
            <w:r>
              <w:rPr>
                <w:rFonts w:hint="eastAsia"/>
              </w:rPr>
              <w:t>kW</w:t>
            </w:r>
          </w:p>
        </w:tc>
        <w:tc>
          <w:tcPr>
            <w:tcW w:w="1701" w:type="dxa"/>
          </w:tcPr>
          <w:p w14:paraId="01950087">
            <w:pPr>
              <w:snapToGrid w:val="0"/>
              <w:spacing w:line="360" w:lineRule="auto"/>
              <w:jc w:val="center"/>
            </w:pPr>
            <w:r>
              <w:rPr>
                <w:rFonts w:hint="eastAsia"/>
              </w:rPr>
              <w:t>0</w:t>
            </w:r>
            <w:r>
              <w:t xml:space="preserve">.02 </w:t>
            </w:r>
            <w:r>
              <w:rPr>
                <w:rFonts w:hint="eastAsia"/>
              </w:rPr>
              <w:t>(kW</w:t>
            </w:r>
            <w:r>
              <w:t>)</w:t>
            </w:r>
            <w:r>
              <w:rPr>
                <w:rFonts w:hint="eastAsia"/>
                <w:vertAlign w:val="superscript"/>
              </w:rPr>
              <w:t>-</w:t>
            </w:r>
            <w:r>
              <w:rPr>
                <w:vertAlign w:val="superscript"/>
              </w:rPr>
              <w:t>1</w:t>
            </w:r>
          </w:p>
        </w:tc>
        <w:tc>
          <w:tcPr>
            <w:tcW w:w="1979" w:type="dxa"/>
            <w:vAlign w:val="center"/>
          </w:tcPr>
          <w:p w14:paraId="4C41E6CD">
            <w:pPr>
              <w:snapToGrid w:val="0"/>
              <w:spacing w:line="360" w:lineRule="auto"/>
              <w:jc w:val="center"/>
            </w:pPr>
            <w:r>
              <w:rPr>
                <w:rFonts w:hint="eastAsia"/>
              </w:rPr>
              <w:t>7.18</w:t>
            </w:r>
            <m:oMath>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−6</m:t>
                  </m:r>
                  <m:ctrlPr>
                    <w:rPr>
                      <w:rFonts w:ascii="Cambria Math" w:hAnsi="Cambria Math"/>
                      <w:i/>
                    </w:rPr>
                  </m:ctrlPr>
                </m:sup>
              </m:sSup>
            </m:oMath>
          </w:p>
        </w:tc>
      </w:tr>
      <w:tr w14:paraId="1543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7" w:type="dxa"/>
            <w:vAlign w:val="center"/>
          </w:tcPr>
          <w:p w14:paraId="12977507">
            <w:pPr>
              <w:snapToGrid w:val="0"/>
              <w:spacing w:line="360" w:lineRule="auto"/>
              <w:jc w:val="center"/>
            </w:pPr>
            <w:r>
              <w:rPr>
                <w:rFonts w:hint="eastAsia"/>
              </w:rPr>
              <w:t>标准辐射热计</w:t>
            </w:r>
          </w:p>
        </w:tc>
        <w:tc>
          <w:tcPr>
            <w:tcW w:w="1238" w:type="dxa"/>
            <w:vAlign w:val="center"/>
          </w:tcPr>
          <w:p w14:paraId="57715386">
            <w:pPr>
              <w:snapToGrid w:val="0"/>
              <w:spacing w:line="360" w:lineRule="auto"/>
              <w:jc w:val="center"/>
            </w:pPr>
            <m:oMathPara>
              <m:oMath>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r>
                  <m:rPr>
                    <m:sty m:val="p"/>
                  </m:rPr>
                  <w:rPr>
                    <w:rFonts w:ascii="Cambria Math" w:hAnsi="Cambria Math"/>
                  </w:rPr>
                  <m:t>)</m:t>
                </m:r>
              </m:oMath>
            </m:oMathPara>
          </w:p>
        </w:tc>
        <w:tc>
          <w:tcPr>
            <w:tcW w:w="1418" w:type="dxa"/>
            <w:vAlign w:val="center"/>
          </w:tcPr>
          <w:p w14:paraId="319E2E8C">
            <w:pPr>
              <w:snapToGrid w:val="0"/>
              <w:spacing w:line="360" w:lineRule="auto"/>
              <w:jc w:val="center"/>
            </w:pPr>
            <w:r>
              <w:t xml:space="preserve">0.751 </w:t>
            </w:r>
            <w:r>
              <w:rPr>
                <w:rFonts w:hint="eastAsia"/>
              </w:rPr>
              <w:t>kW</w:t>
            </w:r>
          </w:p>
        </w:tc>
        <w:tc>
          <w:tcPr>
            <w:tcW w:w="1701" w:type="dxa"/>
          </w:tcPr>
          <w:p w14:paraId="1C6C75CC">
            <w:pPr>
              <w:snapToGrid w:val="0"/>
              <w:spacing w:line="360" w:lineRule="auto"/>
              <w:jc w:val="center"/>
            </w:pPr>
            <w:r>
              <w:rPr>
                <w:rFonts w:hint="eastAsia"/>
              </w:rPr>
              <w:t>0</w:t>
            </w:r>
            <w:r>
              <w:t xml:space="preserve">.02 </w:t>
            </w:r>
            <w:r>
              <w:rPr>
                <w:rFonts w:hint="eastAsia"/>
              </w:rPr>
              <w:t>(kW</w:t>
            </w:r>
            <w:r>
              <w:t>)</w:t>
            </w:r>
            <w:r>
              <w:rPr>
                <w:rFonts w:hint="eastAsia"/>
                <w:vertAlign w:val="superscript"/>
              </w:rPr>
              <w:t>-</w:t>
            </w:r>
            <w:r>
              <w:rPr>
                <w:vertAlign w:val="superscript"/>
              </w:rPr>
              <w:t>1</w:t>
            </w:r>
          </w:p>
        </w:tc>
        <w:tc>
          <w:tcPr>
            <w:tcW w:w="1979" w:type="dxa"/>
            <w:vAlign w:val="center"/>
          </w:tcPr>
          <w:p w14:paraId="07EFCAC9">
            <w:pPr>
              <w:snapToGrid w:val="0"/>
              <w:spacing w:line="360" w:lineRule="auto"/>
              <w:jc w:val="center"/>
            </w:pPr>
            <w:r>
              <w:rPr>
                <w:rFonts w:hint="eastAsia"/>
              </w:rPr>
              <w:t>2.26</w:t>
            </w:r>
            <m:oMath>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p>
        </w:tc>
      </w:tr>
    </w:tbl>
    <w:p w14:paraId="4E056086">
      <w:pPr>
        <w:snapToGrid w:val="0"/>
        <w:spacing w:line="360" w:lineRule="auto"/>
      </w:pPr>
      <w:r>
        <w:rPr>
          <w:rFonts w:hint="eastAsia" w:ascii="黑体" w:hAnsi="Cambria Math" w:eastAsia="黑体"/>
        </w:rPr>
        <w:t>A</w:t>
      </w:r>
      <w:r>
        <w:rPr>
          <w:rFonts w:ascii="黑体" w:hAnsi="Cambria Math" w:eastAsia="黑体"/>
        </w:rPr>
        <w:t>1</w:t>
      </w:r>
      <w:r>
        <w:rPr>
          <w:rFonts w:hint="eastAsia"/>
        </w:rPr>
        <w:t>.5 合成标准不确定度的计算</w:t>
      </w:r>
    </w:p>
    <w:p w14:paraId="3F54D7E3">
      <w:pPr>
        <w:snapToGrid w:val="0"/>
        <w:spacing w:line="360" w:lineRule="auto"/>
        <w:ind w:firstLine="420" w:firstLineChars="200"/>
      </w:pPr>
      <w:r>
        <w:rPr>
          <w:rFonts w:hint="eastAsia"/>
        </w:rPr>
        <w:t>辐射照度示值误差的合成标准不确定度计算如下式。</w:t>
      </w:r>
    </w:p>
    <w:p w14:paraId="34EAE5D3">
      <w:pPr>
        <w:snapToGrid w:val="0"/>
        <w:spacing w:line="360" w:lineRule="auto"/>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c</m:t>
              </m:r>
              <m:ctrlPr>
                <w:rPr>
                  <w:rFonts w:ascii="Cambria Math" w:hAnsi="Cambria Math"/>
                  <w:i/>
                </w:rPr>
              </m:ctrlPr>
            </m:sub>
          </m:sSub>
          <m:d>
            <m:dPr>
              <m:ctrlPr>
                <w:rPr>
                  <w:rFonts w:ascii="Cambria Math" w:hAnsi="Cambria Math"/>
                </w:rPr>
              </m:ctrlPr>
            </m:dPr>
            <m:e>
              <m:r>
                <m:rPr>
                  <m:sty m:val="p"/>
                </m:rPr>
                <w:rPr>
                  <w:rFonts w:ascii="Cambria Math" w:hAnsi="Cambria Math"/>
                </w:rPr>
                <m:t>∆</m:t>
              </m:r>
              <m:r>
                <m:rPr/>
                <w:rPr>
                  <w:rFonts w:hint="eastAsia" w:ascii="Cambria Math" w:hAnsi="Cambria Math"/>
                </w:rPr>
                <m:t>E</m:t>
              </m:r>
              <m:ctrlPr>
                <w:rPr>
                  <w:rFonts w:ascii="Cambria Math" w:hAnsi="Cambria Math"/>
                </w:rPr>
              </m:ctrlPr>
            </m:e>
          </m:d>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u</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ascii="Cambria Math" w:hAnsi="Cambria Math"/>
                        </w:rPr>
                        <m:t>s</m:t>
                      </m:r>
                      <m:r>
                        <m:rPr/>
                        <w:rPr>
                          <w:rFonts w:hint="eastAsia" w:ascii="Cambria Math" w:hAnsi="Cambria Math"/>
                        </w:rPr>
                        <m:t>i</m:t>
                      </m:r>
                      <m:ctrlPr>
                        <w:rPr>
                          <w:rFonts w:ascii="Cambria Math" w:hAnsi="Cambria Math"/>
                          <w:i/>
                        </w:rPr>
                      </m:ctrlPr>
                    </m:sub>
                  </m:sSub>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r>
            <m:rPr>
              <m:sty m:val="p"/>
            </m:rPr>
            <w:rPr>
              <w:rFonts w:ascii="Cambria Math" w:hAnsi="Cambria Math"/>
            </w:rPr>
            <m:t>=1.53%</m:t>
          </m:r>
        </m:oMath>
      </m:oMathPara>
    </w:p>
    <w:p w14:paraId="327F98A2">
      <w:pPr>
        <w:snapToGrid w:val="0"/>
        <w:spacing w:line="360" w:lineRule="auto"/>
      </w:pPr>
      <w:r>
        <w:rPr>
          <w:rFonts w:hint="eastAsia" w:ascii="黑体" w:hAnsi="Cambria Math" w:eastAsia="黑体"/>
        </w:rPr>
        <w:t>A</w:t>
      </w:r>
      <w:r>
        <w:rPr>
          <w:rFonts w:ascii="黑体" w:hAnsi="Cambria Math" w:eastAsia="黑体"/>
        </w:rPr>
        <w:t>1</w:t>
      </w:r>
      <w:r>
        <w:rPr>
          <w:rFonts w:hint="eastAsia"/>
        </w:rPr>
        <w:t>.6 扩展不确定度计算</w:t>
      </w:r>
    </w:p>
    <w:p w14:paraId="640F558B">
      <w:pPr>
        <w:snapToGrid w:val="0"/>
        <w:spacing w:line="360" w:lineRule="auto"/>
        <w:ind w:firstLine="420" w:firstLineChars="200"/>
      </w:pPr>
      <w:r>
        <w:rPr>
          <w:rFonts w:hint="eastAsia"/>
        </w:rPr>
        <w:t>取包含因子</w:t>
      </w:r>
      <w:r>
        <w:rPr>
          <w:rFonts w:hint="eastAsia"/>
          <w:i/>
        </w:rPr>
        <w:t>k</w:t>
      </w:r>
      <w:r>
        <w:rPr>
          <w:rFonts w:hint="eastAsia"/>
        </w:rPr>
        <w:t>=2，得到辐射照度示值误差校准结果的扩展不确定度：</w:t>
      </w:r>
    </w:p>
    <w:p w14:paraId="3B519568">
      <w:pPr>
        <w:snapToGrid w:val="0"/>
        <w:spacing w:line="360" w:lineRule="auto"/>
      </w:pPr>
      <m:oMathPara>
        <m:oMath>
          <m:r>
            <m:rPr/>
            <w:rPr>
              <w:rFonts w:ascii="Cambria Math" w:hAnsi="Cambria Math"/>
            </w:rPr>
            <m:t>U</m:t>
          </m:r>
          <m:d>
            <m:dPr>
              <m:ctrlPr>
                <w:rPr>
                  <w:rFonts w:ascii="Cambria Math" w:hAnsi="Cambria Math"/>
                </w:rPr>
              </m:ctrlPr>
            </m:dPr>
            <m:e>
              <m:r>
                <m:rPr>
                  <m:sty m:val="p"/>
                </m:rPr>
                <w:rPr>
                  <w:rFonts w:ascii="Cambria Math" w:hAnsi="Cambria Math"/>
                </w:rPr>
                <m:t>∆</m:t>
              </m:r>
              <m:r>
                <m:rPr/>
                <w:rPr>
                  <w:rFonts w:hint="eastAsia" w:ascii="Cambria Math" w:hAnsi="Cambria Math"/>
                </w:rPr>
                <m:t>E</m:t>
              </m:r>
              <m:ctrlPr>
                <w:rPr>
                  <w:rFonts w:ascii="Cambria Math" w:hAnsi="Cambria Math"/>
                </w:rPr>
              </m:ctrlPr>
            </m:e>
          </m:d>
          <m:r>
            <m:rPr>
              <m:sty m:val="p"/>
            </m:rPr>
            <w:rPr>
              <w:rFonts w:ascii="Cambria Math"/>
            </w:rPr>
            <m:t>=</m:t>
          </m:r>
          <m:r>
            <m:rPr/>
            <w:rPr>
              <w:rFonts w:ascii="Cambria Math"/>
            </w:rPr>
            <m:t>2</m:t>
          </m:r>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c</m:t>
              </m:r>
              <m:ctrlPr>
                <w:rPr>
                  <w:rFonts w:ascii="Cambria Math" w:hAnsi="Cambria Math"/>
                  <w:i/>
                </w:rPr>
              </m:ctrlPr>
            </m:sub>
          </m:sSub>
          <m:d>
            <m:dPr>
              <m:ctrlPr>
                <w:rPr>
                  <w:rFonts w:ascii="Cambria Math" w:hAnsi="Cambria Math"/>
                </w:rPr>
              </m:ctrlPr>
            </m:dPr>
            <m:e>
              <m:r>
                <m:rPr>
                  <m:sty m:val="p"/>
                </m:rPr>
                <w:rPr>
                  <w:rFonts w:ascii="Cambria Math" w:hAnsi="Cambria Math"/>
                </w:rPr>
                <m:t>∆</m:t>
              </m:r>
              <m:r>
                <m:rPr/>
                <w:rPr>
                  <w:rFonts w:hint="eastAsia" w:ascii="Cambria Math" w:hAnsi="Cambria Math"/>
                </w:rPr>
                <m:t>E</m:t>
              </m:r>
              <m:ctrlPr>
                <w:rPr>
                  <w:rFonts w:ascii="Cambria Math" w:hAnsi="Cambria Math"/>
                </w:rPr>
              </m:ctrlPr>
            </m:e>
          </m:d>
          <m:r>
            <m:rPr>
              <m:sty m:val="p"/>
            </m:rPr>
            <w:rPr>
              <w:rFonts w:ascii="Cambria Math"/>
            </w:rPr>
            <m:t>=3.1%</m:t>
          </m:r>
        </m:oMath>
      </m:oMathPara>
    </w:p>
    <w:bookmarkEnd w:id="46"/>
    <w:p w14:paraId="4542613D">
      <w:pPr>
        <w:spacing w:line="360" w:lineRule="auto"/>
        <w:rPr>
          <w:rFonts w:ascii="黑体" w:hAnsi="Cambria Math" w:eastAsia="黑体"/>
        </w:rPr>
      </w:pPr>
      <w:r>
        <w:rPr>
          <w:rFonts w:hint="eastAsia" w:ascii="黑体" w:hAnsi="Cambria Math" w:eastAsia="黑体"/>
        </w:rPr>
        <w:t>A2</w:t>
      </w:r>
      <w:r>
        <w:rPr>
          <w:rFonts w:ascii="黑体" w:hAnsi="Cambria Math" w:eastAsia="黑体"/>
        </w:rPr>
        <w:t xml:space="preserve"> </w:t>
      </w:r>
      <w:r>
        <w:rPr>
          <w:rFonts w:hint="eastAsia" w:ascii="黑体" w:hAnsi="Cambria Math" w:eastAsia="黑体"/>
        </w:rPr>
        <w:t>比光密度</w:t>
      </w:r>
      <w:r>
        <w:rPr>
          <w:rFonts w:ascii="黑体" w:hAnsi="Cambria Math" w:eastAsia="黑体"/>
        </w:rPr>
        <w:t>示值误差校准不确定度评定示例</w:t>
      </w:r>
    </w:p>
    <w:p w14:paraId="1E99402C">
      <w:pPr>
        <w:spacing w:line="360" w:lineRule="auto"/>
      </w:pPr>
      <w:r>
        <w:rPr>
          <w:rFonts w:hint="eastAsia" w:ascii="黑体" w:hAnsi="Cambria Math" w:eastAsia="黑体"/>
        </w:rPr>
        <w:t>A</w:t>
      </w:r>
      <w:r>
        <w:rPr>
          <w:rFonts w:ascii="黑体" w:hAnsi="Cambria Math" w:eastAsia="黑体"/>
        </w:rPr>
        <w:t>2.1</w:t>
      </w:r>
      <w:r>
        <w:rPr>
          <w:rFonts w:hint="eastAsia"/>
        </w:rPr>
        <w:t xml:space="preserve"> 测量方法</w:t>
      </w:r>
    </w:p>
    <w:p w14:paraId="783F97BF">
      <w:pPr>
        <w:spacing w:line="360" w:lineRule="auto"/>
        <w:ind w:firstLine="420" w:firstLineChars="200"/>
        <w:rPr>
          <w:rFonts w:hint="eastAsia" w:hAnsi="宋体"/>
        </w:rPr>
      </w:pPr>
      <w:r>
        <w:rPr>
          <w:rFonts w:hint="eastAsia" w:hAnsi="宋体"/>
        </w:rPr>
        <w:t>将空样品盒放置于样品支撑架上，关闭烟密度箱，将辐射锥的辐射照度设置在25kW/m</w:t>
      </w:r>
      <w:r>
        <w:rPr>
          <w:rFonts w:hint="eastAsia" w:hAnsi="宋体"/>
          <w:vertAlign w:val="superscript"/>
        </w:rPr>
        <w:t>2</w:t>
      </w:r>
      <w:r>
        <w:rPr>
          <w:rFonts w:hint="eastAsia" w:hAnsi="宋体"/>
        </w:rPr>
        <w:t>。选取烟密度标准物质，待稳定后将样品盒取出，然后将标准物质置于样品盒中，关闭烟密度箱。将辐射锥下面屏蔽罩移除，同时开启数据记录系统和关闭进气口，记录第4分钟的比光密度</w:t>
      </w:r>
      <w:bookmarkStart w:id="48" w:name="_Hlk196826860"/>
      <w:r>
        <w:rPr>
          <w:rFonts w:hint="eastAsia" w:hAnsi="宋体"/>
          <w:i/>
          <w:iCs/>
        </w:rPr>
        <w:t>D</w:t>
      </w:r>
      <w:r>
        <w:rPr>
          <w:rFonts w:hint="eastAsia" w:hAnsi="宋体"/>
          <w:vertAlign w:val="subscript"/>
        </w:rPr>
        <w:t>s4</w:t>
      </w:r>
      <w:bookmarkEnd w:id="48"/>
      <w:r>
        <w:rPr>
          <w:rFonts w:hint="eastAsia" w:hAnsi="宋体"/>
        </w:rPr>
        <w:t>。重复测量三次。</w:t>
      </w:r>
    </w:p>
    <w:p w14:paraId="3AAD6A55">
      <w:pPr>
        <w:spacing w:line="360" w:lineRule="auto"/>
      </w:pPr>
      <w:r>
        <w:rPr>
          <w:rFonts w:hint="eastAsia" w:ascii="黑体" w:hAnsi="Cambria Math" w:eastAsia="黑体"/>
        </w:rPr>
        <w:t>A</w:t>
      </w:r>
      <w:r>
        <w:rPr>
          <w:rFonts w:ascii="黑体" w:hAnsi="Cambria Math" w:eastAsia="黑体"/>
        </w:rPr>
        <w:t>2.2</w:t>
      </w:r>
      <w:r>
        <w:t xml:space="preserve"> 测量模型</w:t>
      </w:r>
      <w:r>
        <w:rPr>
          <w:rFonts w:hint="eastAsia"/>
        </w:rPr>
        <w:t>和不确定度传播公式</w:t>
      </w:r>
    </w:p>
    <w:p w14:paraId="29D500BE">
      <w:pPr>
        <w:spacing w:line="360" w:lineRule="auto"/>
        <w:ind w:firstLine="420" w:firstLineChars="200"/>
      </w:pPr>
      <w:r>
        <w:rPr>
          <w:rFonts w:hint="eastAsia"/>
        </w:rPr>
        <w:t>比光密度的示值误差</w:t>
      </w:r>
      <m:oMath>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m:t>
            </m:r>
            <m:ctrlPr>
              <w:rPr>
                <w:rFonts w:ascii="Cambria Math" w:hAnsi="Cambria Math"/>
                <w:i/>
              </w:rPr>
            </m:ctrlPr>
          </m:sub>
        </m:sSub>
      </m:oMath>
      <w:r>
        <w:t>可按照</w:t>
      </w:r>
      <w:r>
        <w:rPr>
          <w:rFonts w:hint="eastAsia"/>
        </w:rPr>
        <w:t>下式</w:t>
      </w:r>
      <w:r>
        <w:t>进行计算</w:t>
      </w:r>
      <w:r>
        <w:rPr>
          <w:rFonts w:hint="eastAsia"/>
        </w:rPr>
        <w:t>：</w:t>
      </w:r>
    </w:p>
    <w:p w14:paraId="69DCE7CA">
      <w:pPr>
        <w:spacing w:line="360" w:lineRule="auto"/>
        <w:ind w:firstLine="420"/>
        <w:jc w:val="right"/>
        <w:rPr>
          <w:rFonts w:ascii="Cambria Math" w:hAnsi="Cambria Math"/>
        </w:rPr>
      </w:pPr>
      <m:oMath>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acc>
              <m:accPr>
                <m:chr m:val="̅"/>
                <m:ctrlPr>
                  <w:rPr>
                    <w:rFonts w:ascii="Cambria Math" w:hAnsi="Cambria Math"/>
                    <w:i/>
                    <w:sz w:val="24"/>
                    <w:szCs w:val="24"/>
                  </w:rPr>
                </m:ctrlPr>
              </m:accPr>
              <m:e>
                <m:sSub>
                  <m:sSubPr>
                    <m:ctrlPr>
                      <w:rPr>
                        <w:rFonts w:ascii="Cambria Math" w:hAnsi="Cambria Math"/>
                        <w:i/>
                        <w:sz w:val="24"/>
                        <w:szCs w:val="24"/>
                      </w:rPr>
                    </m:ctrlPr>
                  </m:sSubPr>
                  <m:e>
                    <m:r>
                      <m:rPr/>
                      <w:rPr>
                        <w:rFonts w:hint="eastAsia"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ss</m:t>
                </m:r>
                <m:ctrlPr>
                  <w:rPr>
                    <w:rFonts w:ascii="Cambria Math" w:hAnsi="Cambria Math"/>
                    <w:i/>
                    <w:sz w:val="24"/>
                    <w:szCs w:val="24"/>
                  </w:rPr>
                </m:ctrlPr>
              </m:sub>
            </m:sSub>
            <m:ctrlPr>
              <w:rPr>
                <w:rFonts w:ascii="Cambria Math" w:hAnsi="Cambria Math"/>
                <w:i/>
                <w:sz w:val="24"/>
                <w:szCs w:val="24"/>
              </w:rPr>
            </m:ctrlPr>
          </m:num>
          <m:den>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ss</m:t>
                </m:r>
                <m:ctrlPr>
                  <w:rPr>
                    <w:rFonts w:ascii="Cambria Math" w:hAnsi="Cambria Math"/>
                    <w:i/>
                    <w:sz w:val="24"/>
                    <w:szCs w:val="24"/>
                  </w:rPr>
                </m:ctrlPr>
              </m:sub>
            </m:sSub>
            <m:ctrlPr>
              <w:rPr>
                <w:rFonts w:ascii="Cambria Math" w:hAnsi="Cambria Math"/>
                <w:i/>
                <w:sz w:val="24"/>
                <w:szCs w:val="24"/>
              </w:rPr>
            </m:ctrlPr>
          </m:den>
        </m:f>
        <m:r>
          <m:rPr/>
          <w:rPr>
            <w:rFonts w:ascii="Cambria Math" w:hAnsi="Cambria Math"/>
            <w:sz w:val="24"/>
            <w:szCs w:val="24"/>
          </w:rPr>
          <m:t>×100%</m:t>
        </m:r>
      </m:oMath>
      <w:r>
        <w:rPr>
          <w:rFonts w:hint="eastAsia" w:hAnsi="宋体"/>
          <w:sz w:val="24"/>
          <w:szCs w:val="24"/>
        </w:rPr>
        <w:t xml:space="preserve"> </w:t>
      </w:r>
      <w:r>
        <w:rPr>
          <w:rFonts w:hAnsi="宋体"/>
          <w:sz w:val="24"/>
          <w:szCs w:val="24"/>
        </w:rPr>
        <w:t xml:space="preserve">  </w:t>
      </w:r>
      <w:r>
        <w:rPr>
          <w:rFonts w:hint="eastAsia" w:ascii="Cambria Math" w:hAnsi="Cambria Math"/>
        </w:rPr>
        <w:t xml:space="preserve"> </w:t>
      </w:r>
      <w:r>
        <w:rPr>
          <w:rFonts w:ascii="Cambria Math" w:hAnsi="Cambria Math"/>
        </w:rPr>
        <w:t xml:space="preserve">                                                       </w:t>
      </w:r>
      <w:r>
        <w:rPr>
          <w:rFonts w:hint="eastAsia" w:ascii="Cambria Math" w:hAnsi="Cambria Math"/>
        </w:rPr>
        <w:t>（4）</w:t>
      </w:r>
    </w:p>
    <w:p w14:paraId="5AB5135D">
      <w:pPr>
        <w:spacing w:line="360" w:lineRule="auto"/>
        <w:ind w:firstLine="420"/>
        <w:rPr>
          <w:rFonts w:ascii="Cambria Math" w:hAnsi="Cambria Math"/>
        </w:rPr>
      </w:pPr>
      <w:r>
        <w:rPr>
          <w:rFonts w:hint="eastAsia" w:ascii="Cambria Math" w:hAnsi="Cambria Math"/>
        </w:rPr>
        <w:t>式中：</w:t>
      </w:r>
    </w:p>
    <w:p w14:paraId="6FB4AE99">
      <w:pPr>
        <w:spacing w:line="360" w:lineRule="auto"/>
        <w:ind w:firstLine="420"/>
      </w:pPr>
      <m:oMath>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m:t>
            </m:r>
            <m:ctrlPr>
              <w:rPr>
                <w:rFonts w:ascii="Cambria Math" w:hAnsi="Cambria Math"/>
                <w:i/>
              </w:rPr>
            </m:ctrlPr>
          </m:sub>
        </m:sSub>
      </m:oMath>
      <w:r>
        <w:rPr>
          <w:rFonts w:hint="eastAsia" w:ascii="Cambria Math" w:hAnsi="Cambria Math"/>
        </w:rPr>
        <w:t>—</w:t>
      </w:r>
      <w:r>
        <w:t>比光密度示值误差，%；</w:t>
      </w:r>
    </w:p>
    <w:p w14:paraId="019B1F4B">
      <w:pPr>
        <w:spacing w:line="360" w:lineRule="auto"/>
        <w:ind w:firstLine="420"/>
      </w:pPr>
      <m:oMath>
        <m:acc>
          <m:accPr>
            <m:chr m:val="̅"/>
            <m:ctrlPr>
              <w:rPr>
                <w:rFonts w:ascii="Cambria Math" w:hAnsi="Cambria Math"/>
                <w:i/>
                <w:sz w:val="24"/>
                <w:szCs w:val="24"/>
              </w:rPr>
            </m:ctrlPr>
          </m:accPr>
          <m:e>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oMath>
      <w:r>
        <w:t>—比光密度3次测量平均值，%；</w:t>
      </w:r>
    </w:p>
    <w:p w14:paraId="370C2F87">
      <w:pPr>
        <w:spacing w:line="360" w:lineRule="auto"/>
        <w:ind w:firstLine="420"/>
      </w:pP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ss</m:t>
            </m:r>
            <m:ctrlPr>
              <w:rPr>
                <w:rFonts w:ascii="Cambria Math" w:hAnsi="Cambria Math"/>
                <w:i/>
              </w:rPr>
            </m:ctrlPr>
          </m:sub>
        </m:sSub>
      </m:oMath>
      <w:r>
        <w:t>—比光密度标准物质标准值，%。</w:t>
      </w:r>
    </w:p>
    <w:p w14:paraId="06AC27FF">
      <w:pPr>
        <w:spacing w:line="360" w:lineRule="auto"/>
        <w:ind w:firstLine="420"/>
      </w:pPr>
      <w:r>
        <w:rPr>
          <w:rFonts w:hint="eastAsia" w:eastAsiaTheme="minorEastAsia"/>
        </w:rPr>
        <w:t>各输入量彼此独立不相关，</w:t>
      </w:r>
      <w:r>
        <w:rPr>
          <w:rFonts w:hint="eastAsia"/>
        </w:rPr>
        <w:t>因此，示值误差的合成标准不确定度按下式计算。</w:t>
      </w:r>
    </w:p>
    <w:p w14:paraId="158724C6">
      <w:pPr>
        <w:wordWrap w:val="0"/>
        <w:spacing w:line="360" w:lineRule="auto"/>
        <w:ind w:firstLine="420"/>
        <w:jc w:val="right"/>
      </w:pPr>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c</m:t>
            </m:r>
            <m:ctrlPr>
              <w:rPr>
                <w:rFonts w:ascii="Cambria Math" w:hAnsi="Cambria Math"/>
                <w:i/>
              </w:rPr>
            </m:ctrlPr>
          </m:sub>
        </m:sSub>
        <m:d>
          <m:dPr>
            <m:ctrlPr>
              <w:rPr>
                <w:rFonts w:ascii="Cambria Math" w:hAnsi="Cambria Math"/>
              </w:rPr>
            </m:ctrlPr>
          </m:dPr>
          <m:e>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rPr>
            </m:ctrlPr>
          </m:e>
        </m:d>
        <m:r>
          <m:rPr>
            <m:sty m:val="p"/>
          </m:rPr>
          <w:rPr>
            <w:rFonts w:ascii="Cambria Math" w:hAnsi="Cambria Math"/>
          </w:rPr>
          <m:t>=</m:t>
        </m:r>
        <w:bookmarkStart w:id="49" w:name="_Hlk196847813"/>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u</m:t>
                </m:r>
                <m:r>
                  <m:rPr>
                    <m:sty m:val="p"/>
                  </m:rPr>
                  <w:rPr>
                    <w:rFonts w:ascii="Cambria Math" w:hAnsi="Cambria Math"/>
                  </w:rPr>
                  <m:t>(</m:t>
                </m:r>
                <m:acc>
                  <m:accPr>
                    <m:chr m:val="̅"/>
                    <m:ctrlPr>
                      <w:rPr>
                        <w:rFonts w:ascii="Cambria Math" w:hAnsi="Cambria Math"/>
                        <w:i/>
                        <w:sz w:val="24"/>
                        <w:szCs w:val="24"/>
                      </w:rPr>
                    </m:ctrlPr>
                  </m:accPr>
                  <m:e>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u</m:t>
                </m:r>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ss</m:t>
                    </m:r>
                    <m:ctrlPr>
                      <w:rPr>
                        <w:rFonts w:ascii="Cambria Math" w:hAnsi="Cambria Math"/>
                        <w:i/>
                      </w:rPr>
                    </m:ctrlPr>
                  </m:sub>
                </m:sSub>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w:bookmarkEnd w:id="49"/>
          </m:e>
        </m:rad>
      </m:oMath>
      <w:r>
        <w:t xml:space="preserve"> </w:t>
      </w:r>
      <w:r>
        <w:rPr>
          <w:rFonts w:hint="eastAsia"/>
        </w:rPr>
        <w:t xml:space="preserve">         </w:t>
      </w:r>
      <w:r>
        <w:t xml:space="preserve">                        </w:t>
      </w:r>
      <w:r>
        <w:rPr>
          <w:rFonts w:hint="eastAsia"/>
        </w:rPr>
        <w:t xml:space="preserve">     (</w:t>
      </w:r>
      <w:r>
        <w:t>A.4</w:t>
      </w:r>
      <w:r>
        <w:rPr>
          <w:rFonts w:hint="eastAsia"/>
        </w:rPr>
        <w:t>)</w:t>
      </w:r>
    </w:p>
    <w:p w14:paraId="7C9A902D">
      <w:pPr>
        <w:spacing w:line="360" w:lineRule="auto"/>
        <w:ind w:firstLine="420" w:firstLineChars="200"/>
      </w:pPr>
      <w:r>
        <w:rPr>
          <w:rFonts w:hint="eastAsia"/>
        </w:rPr>
        <w:t>其中灵敏系数：</w:t>
      </w:r>
      <m:oMath>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1</m:t>
            </m:r>
            <m:ctrlPr>
              <w:rPr>
                <w:rFonts w:ascii="Cambria Math" w:hAnsi="Cambria Math" w:eastAsiaTheme="minorEastAsia"/>
                <w:i/>
              </w:rPr>
            </m:ctrlPr>
          </m:sub>
        </m:sSub>
        <m:r>
          <m:rPr>
            <m:sty m:val="p"/>
          </m:rPr>
          <w:rPr>
            <w:rFonts w:ascii="Cambria Math" w:hAnsi="Cambria Math" w:eastAsiaTheme="minorEastAsia"/>
          </w:rPr>
          <m:t>=</m:t>
        </m:r>
        <m:f>
          <m:fPr>
            <m:ctrlPr>
              <w:rPr>
                <w:rFonts w:ascii="Cambria Math" w:hAnsi="Cambria Math" w:eastAsiaTheme="minorEastAsia"/>
              </w:rPr>
            </m:ctrlPr>
          </m:fPr>
          <m:num>
            <m:r>
              <m:rPr>
                <m:sty m:val="p"/>
              </m:rPr>
              <w:rPr>
                <w:rFonts w:ascii="Cambria Math" w:hAnsi="Cambria Math" w:eastAsiaTheme="minorEastAsia"/>
              </w:rPr>
              <m:t>1</m:t>
            </m:r>
            <m:ctrlPr>
              <w:rPr>
                <w:rFonts w:ascii="Cambria Math" w:hAnsi="Cambria Math" w:eastAsiaTheme="minorEastAsia"/>
              </w:rPr>
            </m:ctrlPr>
          </m:num>
          <m:den>
            <m:sSub>
              <m:sSubPr>
                <m:ctrlPr>
                  <w:rPr>
                    <w:rFonts w:ascii="Cambria Math" w:hAnsi="Cambria Math" w:eastAsiaTheme="minorEastAsia"/>
                    <w:i/>
                  </w:rPr>
                </m:ctrlPr>
              </m:sSubPr>
              <m:e>
                <m:r>
                  <m:rPr/>
                  <w:rPr>
                    <w:rFonts w:ascii="Cambria Math" w:hAnsi="Cambria Math" w:eastAsiaTheme="minorEastAsia"/>
                  </w:rPr>
                  <m:t>D</m:t>
                </m:r>
                <m:ctrlPr>
                  <w:rPr>
                    <w:rFonts w:ascii="Cambria Math" w:hAnsi="Cambria Math" w:eastAsiaTheme="minorEastAsia"/>
                    <w:i/>
                  </w:rPr>
                </m:ctrlPr>
              </m:e>
              <m:sub>
                <m:r>
                  <m:rPr/>
                  <w:rPr>
                    <w:rFonts w:ascii="Cambria Math" w:hAnsi="Cambria Math" w:eastAsiaTheme="minorEastAsia"/>
                  </w:rPr>
                  <m:t>ss</m:t>
                </m:r>
                <m:ctrlPr>
                  <w:rPr>
                    <w:rFonts w:ascii="Cambria Math" w:hAnsi="Cambria Math" w:eastAsiaTheme="minorEastAsia"/>
                    <w:i/>
                  </w:rPr>
                </m:ctrlPr>
              </m:sub>
            </m:sSub>
            <m:ctrlPr>
              <w:rPr>
                <w:rFonts w:ascii="Cambria Math" w:hAnsi="Cambria Math" w:eastAsiaTheme="minorEastAsia"/>
              </w:rPr>
            </m:ctrlPr>
          </m:den>
        </m:f>
      </m:oMath>
      <w:r>
        <w:rPr>
          <w:rFonts w:hint="eastAsia" w:eastAsiaTheme="minorEastAsia"/>
        </w:rPr>
        <w:t>，</w:t>
      </w:r>
      <m:oMath>
        <m:sSub>
          <m:sSubPr>
            <m:ctrlPr>
              <w:rPr>
                <w:rFonts w:ascii="Cambria Math" w:hAnsi="Cambria Math" w:eastAsiaTheme="minorEastAsia"/>
                <w:i/>
              </w:rPr>
            </m:ctrlPr>
          </m:sSubPr>
          <m:e>
            <m:r>
              <m:rPr/>
              <w:rPr>
                <w:rFonts w:ascii="Cambria Math" w:hAnsi="Cambria Math" w:eastAsiaTheme="minorEastAsia"/>
              </w:rPr>
              <m:t>c</m:t>
            </m:r>
            <m:ctrlPr>
              <w:rPr>
                <w:rFonts w:ascii="Cambria Math" w:hAnsi="Cambria Math" w:eastAsiaTheme="minorEastAsia"/>
                <w:i/>
              </w:rPr>
            </m:ctrlPr>
          </m:e>
          <m:sub>
            <m:r>
              <m:rPr/>
              <w:rPr>
                <w:rFonts w:ascii="Cambria Math" w:hAnsi="Cambria Math" w:eastAsiaTheme="minorEastAsia"/>
              </w:rPr>
              <m:t>2</m:t>
            </m:r>
            <m:ctrlPr>
              <w:rPr>
                <w:rFonts w:ascii="Cambria Math" w:hAnsi="Cambria Math" w:eastAsiaTheme="minorEastAsia"/>
                <w:i/>
              </w:rPr>
            </m:ctrlPr>
          </m:sub>
        </m:sSub>
        <m:r>
          <m:rPr>
            <m:sty m:val="p"/>
          </m:rPr>
          <w:rPr>
            <w:rFonts w:ascii="Cambria Math" w:hAnsi="Cambria Math" w:eastAsiaTheme="minorEastAsia"/>
          </w:rPr>
          <m:t>=−</m:t>
        </m:r>
        <m:f>
          <m:fPr>
            <m:ctrlPr>
              <w:rPr>
                <w:rFonts w:ascii="Cambria Math" w:hAnsi="Cambria Math" w:eastAsiaTheme="minorEastAsia"/>
                <w:i/>
              </w:rPr>
            </m:ctrlPr>
          </m:fPr>
          <m:num>
            <m:acc>
              <m:accPr>
                <m:chr m:val="̅"/>
                <m:ctrlPr>
                  <w:rPr>
                    <w:rFonts w:ascii="Cambria Math" w:hAnsi="Cambria Math" w:eastAsiaTheme="minorEastAsia"/>
                    <w:i/>
                  </w:rPr>
                </m:ctrlPr>
              </m:accPr>
              <m:e>
                <m:sSub>
                  <m:sSubPr>
                    <m:ctrlPr>
                      <w:rPr>
                        <w:rFonts w:ascii="Cambria Math" w:hAnsi="Cambria Math" w:eastAsiaTheme="minorEastAsia"/>
                        <w:i/>
                      </w:rPr>
                    </m:ctrlPr>
                  </m:sSubPr>
                  <m:e>
                    <m:r>
                      <m:rPr/>
                      <w:rPr>
                        <w:rFonts w:ascii="Cambria Math" w:hAnsi="Cambria Math" w:eastAsiaTheme="minorEastAsia"/>
                      </w:rPr>
                      <m:t>D</m:t>
                    </m:r>
                    <m:ctrlPr>
                      <w:rPr>
                        <w:rFonts w:ascii="Cambria Math" w:hAnsi="Cambria Math" w:eastAsiaTheme="minorEastAsia"/>
                        <w:i/>
                      </w:rPr>
                    </m:ctrlPr>
                  </m:e>
                  <m:sub>
                    <m:r>
                      <m:rPr/>
                      <w:rPr>
                        <w:rFonts w:ascii="Cambria Math" w:hAnsi="Cambria Math" w:eastAsiaTheme="minorEastAsia"/>
                      </w:rPr>
                      <m:t>si</m:t>
                    </m:r>
                    <m:ctrlPr>
                      <w:rPr>
                        <w:rFonts w:ascii="Cambria Math" w:hAnsi="Cambria Math" w:eastAsiaTheme="minorEastAsia"/>
                        <w:i/>
                      </w:rPr>
                    </m:ctrlPr>
                  </m:sub>
                </m:sSub>
                <m:ctrlPr>
                  <w:rPr>
                    <w:rFonts w:ascii="Cambria Math" w:hAnsi="Cambria Math" w:eastAsiaTheme="minorEastAsia"/>
                    <w:i/>
                  </w:rPr>
                </m:ctrlPr>
              </m:e>
            </m:acc>
            <m:ctrlPr>
              <w:rPr>
                <w:rFonts w:ascii="Cambria Math" w:hAnsi="Cambria Math" w:eastAsiaTheme="minorEastAsia"/>
                <w:i/>
              </w:rPr>
            </m:ctrlPr>
          </m:num>
          <m:den>
            <m:sSubSup>
              <m:sSubSupPr>
                <m:ctrlPr>
                  <w:rPr>
                    <w:rFonts w:ascii="Cambria Math" w:hAnsi="Cambria Math" w:eastAsiaTheme="minorEastAsia"/>
                    <w:i/>
                  </w:rPr>
                </m:ctrlPr>
              </m:sSubSupPr>
              <m:e>
                <m:r>
                  <m:rPr/>
                  <w:rPr>
                    <w:rFonts w:ascii="Cambria Math" w:hAnsi="Cambria Math" w:eastAsiaTheme="minorEastAsia"/>
                  </w:rPr>
                  <m:t>D</m:t>
                </m:r>
                <m:ctrlPr>
                  <w:rPr>
                    <w:rFonts w:ascii="Cambria Math" w:hAnsi="Cambria Math" w:eastAsiaTheme="minorEastAsia"/>
                    <w:i/>
                  </w:rPr>
                </m:ctrlPr>
              </m:e>
              <m:sub>
                <m:r>
                  <m:rPr/>
                  <w:rPr>
                    <w:rFonts w:ascii="Cambria Math" w:hAnsi="Cambria Math" w:eastAsiaTheme="minorEastAsia"/>
                  </w:rPr>
                  <m:t>ss</m:t>
                </m:r>
                <m:ctrlPr>
                  <w:rPr>
                    <w:rFonts w:ascii="Cambria Math" w:hAnsi="Cambria Math" w:eastAsiaTheme="minorEastAsia"/>
                    <w:i/>
                  </w:rPr>
                </m:ctrlPr>
              </m:sub>
              <m:sup>
                <m:r>
                  <m:rPr/>
                  <w:rPr>
                    <w:rFonts w:ascii="Cambria Math" w:hAnsi="Cambria Math" w:eastAsiaTheme="minorEastAsia"/>
                  </w:rPr>
                  <m:t>2</m:t>
                </m:r>
                <m:ctrlPr>
                  <w:rPr>
                    <w:rFonts w:ascii="Cambria Math" w:hAnsi="Cambria Math" w:eastAsiaTheme="minorEastAsia"/>
                    <w:i/>
                  </w:rPr>
                </m:ctrlPr>
              </m:sup>
            </m:sSubSup>
            <m:ctrlPr>
              <w:rPr>
                <w:rFonts w:ascii="Cambria Math" w:hAnsi="Cambria Math" w:eastAsiaTheme="minorEastAsia"/>
                <w:i/>
              </w:rPr>
            </m:ctrlPr>
          </m:den>
        </m:f>
      </m:oMath>
      <w:r>
        <w:rPr>
          <w:rFonts w:hint="eastAsia" w:eastAsiaTheme="minorEastAsia"/>
        </w:rPr>
        <w:t>。</w:t>
      </w:r>
    </w:p>
    <w:p w14:paraId="5099FCCB">
      <w:pPr>
        <w:spacing w:line="360" w:lineRule="auto"/>
      </w:pPr>
      <w:r>
        <w:rPr>
          <w:rFonts w:hint="eastAsia" w:ascii="黑体" w:hAnsi="Cambria Math" w:eastAsia="黑体"/>
        </w:rPr>
        <w:t>A</w:t>
      </w:r>
      <w:r>
        <w:rPr>
          <w:rFonts w:ascii="黑体" w:hAnsi="Cambria Math" w:eastAsia="黑体"/>
        </w:rPr>
        <w:t>2.3</w:t>
      </w:r>
      <w:r>
        <w:rPr>
          <w:rFonts w:hint="eastAsia"/>
        </w:rPr>
        <w:t xml:space="preserve"> </w:t>
      </w:r>
      <w:r>
        <w:rPr>
          <w:rFonts w:hint="eastAsia" w:eastAsiaTheme="minorEastAsia"/>
        </w:rPr>
        <w:t>标准</w:t>
      </w:r>
      <w:r>
        <w:rPr>
          <w:rFonts w:hint="eastAsia" w:hAnsiTheme="minorEastAsia" w:eastAsiaTheme="minorEastAsia"/>
        </w:rPr>
        <w:t>不确定度分量的计算</w:t>
      </w:r>
    </w:p>
    <w:p w14:paraId="3E83C7B2">
      <w:pPr>
        <w:spacing w:line="360" w:lineRule="auto"/>
        <w:ind w:firstLine="465"/>
      </w:pPr>
      <w:r>
        <w:rPr>
          <w:rFonts w:hint="eastAsia"/>
        </w:rPr>
        <w:t>比光密度示值误差的不确定度包含测量重复性引入的标准不确定度分量</w:t>
      </w:r>
      <m:oMath>
        <m:r>
          <m:rPr/>
          <w:rPr>
            <w:rFonts w:ascii="Cambria Math" w:hAnsi="Cambria Math"/>
          </w:rPr>
          <m:t>u</m:t>
        </m:r>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si</m:t>
            </m:r>
            <m:ctrlPr>
              <w:rPr>
                <w:rFonts w:ascii="Cambria Math" w:hAnsi="Cambria Math"/>
                <w:i/>
              </w:rPr>
            </m:ctrlPr>
          </m:sub>
        </m:sSub>
        <m:r>
          <m:rPr>
            <m:sty m:val="p"/>
          </m:rPr>
          <w:rPr>
            <w:rFonts w:ascii="Cambria Math" w:hAnsi="Cambria Math"/>
          </w:rPr>
          <m:t>)</m:t>
        </m:r>
      </m:oMath>
      <w:r>
        <w:rPr>
          <w:rFonts w:hint="eastAsia"/>
        </w:rPr>
        <w:t>和烟密度标准物质引入的标准不确定度分量</w:t>
      </w:r>
      <m:oMath>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hAnsi="Cambria Math"/>
              </w:rPr>
              <m:t>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ss</m:t>
            </m:r>
            <m:ctrlPr>
              <w:rPr>
                <w:rFonts w:ascii="Cambria Math" w:hAnsi="Cambria Math"/>
                <w:i/>
              </w:rPr>
            </m:ctrlPr>
          </m:sub>
        </m:sSub>
        <m:r>
          <m:rPr>
            <m:sty m:val="p"/>
          </m:rPr>
          <w:rPr>
            <w:rFonts w:ascii="Cambria Math" w:hAnsi="Cambria Math"/>
          </w:rPr>
          <m:t>)</m:t>
        </m:r>
      </m:oMath>
      <w:r>
        <w:rPr>
          <w:rFonts w:hint="eastAsia"/>
        </w:rPr>
        <w:t>。</w:t>
      </w:r>
    </w:p>
    <w:p w14:paraId="6090CA3C">
      <w:pPr>
        <w:snapToGrid w:val="0"/>
        <w:spacing w:line="360" w:lineRule="auto"/>
        <w:ind w:firstLine="420"/>
      </w:pPr>
      <w:r>
        <w:rPr>
          <w:rFonts w:hint="eastAsia"/>
        </w:rPr>
        <w:t>1）测量重复性引入的标准不确定度分量</w:t>
      </w:r>
      <m:oMath>
        <m:r>
          <m:rPr/>
          <w:rPr>
            <w:rFonts w:ascii="Cambria Math" w:hAnsi="Cambria Math"/>
          </w:rPr>
          <m:t>u</m:t>
        </m:r>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si</m:t>
            </m:r>
            <m:ctrlPr>
              <w:rPr>
                <w:rFonts w:ascii="Cambria Math" w:hAnsi="Cambria Math"/>
                <w:i/>
              </w:rPr>
            </m:ctrlPr>
          </m:sub>
        </m:sSub>
        <m:r>
          <m:rPr>
            <m:sty m:val="p"/>
          </m:rPr>
          <w:rPr>
            <w:rFonts w:ascii="Cambria Math" w:hAnsi="Cambria Math"/>
          </w:rPr>
          <m:t>)</m:t>
        </m:r>
      </m:oMath>
      <w:r>
        <w:rPr>
          <w:rFonts w:hint="eastAsia"/>
        </w:rPr>
        <w:t xml:space="preserve"> </w:t>
      </w:r>
    </w:p>
    <w:p w14:paraId="2DAB4015">
      <w:pPr>
        <w:snapToGrid w:val="0"/>
        <w:spacing w:line="360" w:lineRule="auto"/>
        <w:ind w:firstLine="420"/>
      </w:pPr>
      <w:r>
        <w:rPr>
          <w:rFonts w:hint="eastAsia" w:hAnsi="宋体"/>
        </w:rPr>
        <w:t>选用无焰烟密度标准物质纤维素对固体材料烟密度仪进行校准，</w:t>
      </w:r>
      <m:oMath>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hint="eastAsia" w:ascii="Cambria Math" w:hAnsi="Cambria Math"/>
              </w:rPr>
              <m:t>s</m:t>
            </m:r>
            <m:r>
              <m:rPr/>
              <w:rPr>
                <w:rFonts w:ascii="Cambria Math" w:hAnsi="Cambria Math"/>
              </w:rPr>
              <m:t>i</m:t>
            </m:r>
            <m:ctrlPr>
              <w:rPr>
                <w:rFonts w:ascii="Cambria Math" w:hAnsi="Cambria Math"/>
                <w:i/>
              </w:rPr>
            </m:ctrlPr>
          </m:sub>
        </m:sSub>
      </m:oMath>
      <w:r>
        <w:rPr>
          <w:rFonts w:hint="eastAsia" w:hAnsi="宋体"/>
        </w:rPr>
        <w:t>试验数据分别为</w:t>
      </w:r>
      <w:r>
        <w:t>176</w:t>
      </w:r>
      <w:r>
        <w:rPr>
          <w:rFonts w:hint="eastAsia"/>
        </w:rPr>
        <w:t>、</w:t>
      </w:r>
      <w:r>
        <w:t>166</w:t>
      </w:r>
      <w:r>
        <w:rPr>
          <w:rFonts w:hint="eastAsia"/>
        </w:rPr>
        <w:t>、</w:t>
      </w:r>
      <w:r>
        <w:t>172，采</w:t>
      </w:r>
      <w:r>
        <w:rPr>
          <w:rFonts w:hint="eastAsia"/>
        </w:rPr>
        <w:t>用极差法计算单次实验标准差</w:t>
      </w:r>
      <m:oMath>
        <m:r>
          <m:rPr/>
          <w:rPr>
            <w:rFonts w:hint="eastAsia" w:ascii="Cambria Math" w:hAnsi="Cambria Math"/>
          </w:rPr>
          <m:t>s=</m:t>
        </m:r>
        <m:f>
          <m:fPr>
            <m:ctrlPr>
              <w:rPr>
                <w:rFonts w:ascii="Cambria Math" w:hAnsi="Cambria Math"/>
              </w:rPr>
            </m:ctrlPr>
          </m:fPr>
          <m:num>
            <m:r>
              <m:rPr>
                <m:sty m:val="p"/>
              </m:rPr>
              <w:rPr>
                <w:rFonts w:hint="eastAsia" w:ascii="Cambria Math" w:hAnsi="Cambria Math"/>
              </w:rPr>
              <m:t>1</m:t>
            </m:r>
            <m:r>
              <m:rPr>
                <m:sty m:val="p"/>
              </m:rPr>
              <w:rPr>
                <w:rFonts w:ascii="Cambria Math" w:hAnsi="Cambria Math"/>
              </w:rPr>
              <m:t>76</m:t>
            </m:r>
            <m:r>
              <m:rPr>
                <m:sty m:val="p"/>
              </m:rPr>
              <w:rPr>
                <w:rFonts w:hint="eastAsia" w:ascii="微软雅黑" w:hAnsi="微软雅黑" w:eastAsia="微软雅黑" w:cs="微软雅黑"/>
              </w:rPr>
              <m:t>−</m:t>
            </m:r>
            <m:r>
              <m:rPr>
                <m:sty m:val="p"/>
              </m:rPr>
              <w:rPr>
                <w:rFonts w:ascii="Cambria Math" w:hAnsi="微软雅黑" w:eastAsia="微软雅黑" w:cs="微软雅黑"/>
              </w:rPr>
              <m:t>166</m:t>
            </m:r>
            <m:ctrlPr>
              <w:rPr>
                <w:rFonts w:ascii="Cambria Math" w:hAnsi="Cambria Math"/>
              </w:rPr>
            </m:ctrlPr>
          </m:num>
          <m:den>
            <m:r>
              <m:rPr>
                <m:sty m:val="p"/>
              </m:rPr>
              <w:rPr>
                <w:rFonts w:ascii="Cambria Math" w:hAnsi="Cambria Math"/>
              </w:rPr>
              <m:t>1.69</m:t>
            </m:r>
            <m:ctrlPr>
              <w:rPr>
                <w:rFonts w:ascii="Cambria Math" w:hAnsi="Cambria Math"/>
              </w:rPr>
            </m:ctrlPr>
          </m:den>
        </m:f>
        <m:r>
          <m:rPr>
            <m:sty m:val="p"/>
          </m:rPr>
          <w:rPr>
            <w:rFonts w:ascii="Cambria Math" w:hAnsi="Cambria Math"/>
          </w:rPr>
          <m:t>=5.92</m:t>
        </m:r>
      </m:oMath>
      <w:r>
        <w:rPr>
          <w:rFonts w:hint="eastAsia"/>
        </w:rPr>
        <w:t>，校准时采用3次测量结果的平均值，则测量重复性的引入的标准不确定度分量为：</w:t>
      </w:r>
    </w:p>
    <w:p w14:paraId="1DC628C4">
      <w:pPr>
        <w:snapToGrid w:val="0"/>
        <w:spacing w:line="360" w:lineRule="auto"/>
        <w:ind w:firstLine="420"/>
      </w:pPr>
      <m:oMathPara>
        <m:oMath>
          <m:r>
            <m:rPr/>
            <w:rPr>
              <w:rFonts w:ascii="Cambria Math" w:hAnsi="Cambria Math"/>
            </w:rPr>
            <m:t>u</m:t>
          </m:r>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si</m:t>
              </m:r>
              <m:ctrlPr>
                <w:rPr>
                  <w:rFonts w:ascii="Cambria Math" w:hAnsi="Cambria Math"/>
                  <w:i/>
                </w:rPr>
              </m:ctrlPr>
            </m:sub>
          </m:sSub>
          <m:r>
            <m:rPr>
              <m:sty m:val="p"/>
            </m:rPr>
            <w:rPr>
              <w:rFonts w:ascii="Cambria Math" w:hAnsi="Cambria Math"/>
            </w:rPr>
            <m:t>)=</m:t>
          </m:r>
          <m:f>
            <m:fPr>
              <m:ctrlPr>
                <w:rPr>
                  <w:rFonts w:ascii="Cambria Math" w:hAnsi="Cambria Math"/>
                </w:rPr>
              </m:ctrlPr>
            </m:fPr>
            <m:num>
              <m:r>
                <m:rPr/>
                <w:rPr>
                  <w:rFonts w:hint="eastAsia" w:ascii="Cambria Math" w:hAnsi="Cambria Math"/>
                </w:rPr>
                <m:t>s</m:t>
              </m:r>
              <m:ctrlPr>
                <w:rPr>
                  <w:rFonts w:ascii="Cambria Math" w:hAnsi="Cambria Math"/>
                </w:rPr>
              </m:ctrlPr>
            </m:num>
            <m:den>
              <m:rad>
                <m:radPr>
                  <m:degHide m:val="1"/>
                  <m:ctrlPr>
                    <w:rPr>
                      <w:rFonts w:ascii="Cambria Math" w:hAnsi="Cambria Math"/>
                      <w:i/>
                    </w:rPr>
                  </m:ctrlPr>
                </m:radPr>
                <m:deg>
                  <m:ctrlPr>
                    <w:rPr>
                      <w:rFonts w:ascii="Cambria Math" w:hAnsi="Cambria Math"/>
                      <w:i/>
                    </w:rPr>
                  </m:ctrlPr>
                </m:deg>
                <m:e>
                  <m:r>
                    <m:rPr/>
                    <w:rPr>
                      <w:rFonts w:hint="eastAsia" w:ascii="Cambria Math" w:hAnsi="Cambria Math"/>
                    </w:rPr>
                    <m:t>n</m:t>
                  </m:r>
                  <m:ctrlPr>
                    <w:rPr>
                      <w:rFonts w:ascii="Cambria Math" w:hAnsi="Cambria Math"/>
                      <w:i/>
                    </w:rPr>
                  </m:ctrlPr>
                </m:e>
              </m:rad>
              <m:ctrlPr>
                <w:rPr>
                  <w:rFonts w:ascii="Cambria Math" w:hAnsi="Cambria Math"/>
                </w:rPr>
              </m:ctrlPr>
            </m:den>
          </m:f>
          <m:r>
            <m:rPr/>
            <w:rPr>
              <w:rFonts w:hint="eastAsia" w:ascii="Cambria Math" w:hAnsi="Cambria Math"/>
            </w:rPr>
            <m:t>=</m:t>
          </m:r>
          <m:f>
            <m:fPr>
              <m:ctrlPr>
                <w:rPr>
                  <w:rFonts w:ascii="Cambria Math" w:hAnsi="Cambria Math"/>
                </w:rPr>
              </m:ctrlPr>
            </m:fPr>
            <m:num>
              <m:r>
                <m:rPr>
                  <m:sty m:val="p"/>
                </m:rPr>
                <w:rPr>
                  <w:rFonts w:ascii="Cambria Math" w:hAnsi="Cambria Math"/>
                </w:rPr>
                <m:t>5.92</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den>
          </m:f>
          <m:r>
            <m:rPr>
              <m:sty m:val="p"/>
            </m:rPr>
            <w:rPr>
              <w:rFonts w:ascii="Cambria Math" w:hAnsi="Cambria Math"/>
            </w:rPr>
            <m:t>=3.42</m:t>
          </m:r>
        </m:oMath>
      </m:oMathPara>
    </w:p>
    <w:p w14:paraId="1EA201CB">
      <w:pPr>
        <w:spacing w:line="360" w:lineRule="auto"/>
        <w:ind w:firstLine="420"/>
      </w:pPr>
      <w:r>
        <w:rPr>
          <w:rFonts w:hint="eastAsia"/>
        </w:rPr>
        <w:t>2）烟密度标准物质引入的标准不确定度分量</w:t>
      </w:r>
      <m:oMath>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hAnsi="Cambria Math"/>
              </w:rPr>
              <m:t>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ss</m:t>
            </m:r>
            <m:ctrlPr>
              <w:rPr>
                <w:rFonts w:ascii="Cambria Math" w:hAnsi="Cambria Math"/>
                <w:i/>
              </w:rPr>
            </m:ctrlPr>
          </m:sub>
        </m:sSub>
        <m:r>
          <m:rPr>
            <m:sty m:val="p"/>
          </m:rPr>
          <w:rPr>
            <w:rFonts w:ascii="Cambria Math" w:hAnsi="Cambria Math"/>
          </w:rPr>
          <m:t>)</m:t>
        </m:r>
      </m:oMath>
    </w:p>
    <w:p w14:paraId="4088A539">
      <w:pPr>
        <w:spacing w:line="360" w:lineRule="auto"/>
        <w:ind w:firstLine="420"/>
      </w:pPr>
      <w:r>
        <w:rPr>
          <w:rFonts w:hint="eastAsia" w:ascii="宋体" w:hAnsi="宋体"/>
        </w:rPr>
        <w:t>采用的</w:t>
      </w:r>
      <w:r>
        <w:rPr>
          <w:rFonts w:hint="eastAsia"/>
        </w:rPr>
        <w:t>烟密度标准物质扩展不确定为：</w:t>
      </w:r>
    </w:p>
    <w:p w14:paraId="55374B81">
      <w:pPr>
        <w:snapToGrid w:val="0"/>
        <w:spacing w:line="360" w:lineRule="auto"/>
        <w:ind w:firstLine="420"/>
        <w:jc w:val="left"/>
        <w:rPr>
          <w:i/>
        </w:rPr>
      </w:pPr>
      <m:oMathPara>
        <m:oMath>
          <m:r>
            <m:rPr/>
            <w:rPr>
              <w:rFonts w:ascii="Cambria Math" w:hAnsi="Cambria Math"/>
            </w:rPr>
            <m:t>u</m:t>
          </m:r>
          <m:d>
            <m:dPr>
              <m:ctrlPr>
                <w:rPr>
                  <w:rFonts w:ascii="Cambria Math" w:hAnsi="Cambria Math"/>
                </w:rPr>
              </m:ctrlPr>
            </m:d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ss</m:t>
                  </m:r>
                  <m:ctrlPr>
                    <w:rPr>
                      <w:rFonts w:ascii="Cambria Math" w:hAnsi="Cambria Math"/>
                      <w:i/>
                    </w:rPr>
                  </m:ctrlPr>
                </m:sub>
              </m:sSub>
              <m:ctrlPr>
                <w:rPr>
                  <w:rFonts w:ascii="Cambria Math" w:hAnsi="Cambria Math"/>
                </w:rPr>
              </m:ctrlPr>
            </m:e>
          </m:d>
          <m:r>
            <m:rPr>
              <m:sty m:val="p"/>
            </m:rPr>
            <w:rPr>
              <w:rFonts w:ascii="Cambria Math" w:hAnsi="Cambria Math"/>
            </w:rPr>
            <m:t>=</m:t>
          </m:r>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ascii="Cambria Math" w:hAnsi="Cambria Math"/>
                </w:rPr>
                <m:t>s</m:t>
              </m:r>
              <m:r>
                <m:rPr/>
                <w:rPr>
                  <w:rFonts w:hint="eastAsia" w:ascii="Cambria Math" w:hAnsi="Cambria Math"/>
                </w:rPr>
                <m:t>s</m:t>
              </m:r>
              <m:ctrlPr>
                <w:rPr>
                  <w:rFonts w:ascii="Cambria Math" w:hAnsi="Cambria Math"/>
                  <w:i/>
                </w:rPr>
              </m:ctrlPr>
            </m:sub>
          </m:sSub>
          <m:r>
            <m:rPr/>
            <w:rPr>
              <w:rFonts w:ascii="Cambria Math" w:hAnsi="Cambria Math"/>
            </w:rPr>
            <m:t>×</m:t>
          </m:r>
          <m:f>
            <m:fPr>
              <m:ctrlPr>
                <w:rPr>
                  <w:rFonts w:ascii="Cambria Math" w:hAnsi="Cambria Math"/>
                </w:rPr>
              </m:ctrlPr>
            </m:fPr>
            <m:num>
              <m:r>
                <m:rPr/>
                <w:rPr>
                  <w:rFonts w:hint="eastAsia" w:ascii="Cambria Math" w:hAnsi="Cambria Math"/>
                </w:rPr>
                <m:t>U</m:t>
              </m:r>
              <m:ctrlPr>
                <w:rPr>
                  <w:rFonts w:ascii="Cambria Math" w:hAnsi="Cambria Math"/>
                </w:rPr>
              </m:ctrlPr>
            </m:num>
            <m:den>
              <m:r>
                <m:rPr/>
                <w:rPr>
                  <w:rFonts w:hint="eastAsia" w:ascii="Cambria Math" w:hAnsi="Cambria Math"/>
                </w:rPr>
                <m:t>k</m:t>
              </m:r>
              <m:ctrlPr>
                <w:rPr>
                  <w:rFonts w:ascii="Cambria Math" w:hAnsi="Cambria Math"/>
                </w:rPr>
              </m:ctrlPr>
            </m:den>
          </m:f>
          <m:r>
            <m:rPr/>
            <w:rPr>
              <w:rFonts w:hint="eastAsia" w:ascii="Cambria Math" w:hAnsi="Cambria Math"/>
            </w:rPr>
            <m:t>=</m:t>
          </m:r>
          <m:r>
            <m:rPr/>
            <w:rPr>
              <w:rFonts w:ascii="Cambria Math" w:hAnsi="Cambria Math"/>
            </w:rPr>
            <m:t>166×</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=4.25</m:t>
          </m:r>
        </m:oMath>
      </m:oMathPara>
    </w:p>
    <w:p w14:paraId="45587EDC">
      <w:pPr>
        <w:snapToGrid w:val="0"/>
        <w:spacing w:line="360" w:lineRule="auto"/>
      </w:pPr>
      <w:r>
        <w:rPr>
          <w:rFonts w:hint="eastAsia" w:ascii="黑体" w:hAnsi="Cambria Math" w:eastAsia="黑体"/>
        </w:rPr>
        <w:t>A</w:t>
      </w:r>
      <w:r>
        <w:rPr>
          <w:rFonts w:ascii="黑体" w:hAnsi="Cambria Math" w:eastAsia="黑体"/>
        </w:rPr>
        <w:t>2.4</w:t>
      </w:r>
      <w:r>
        <w:rPr>
          <w:rFonts w:hint="eastAsia"/>
        </w:rPr>
        <w:t xml:space="preserve"> 标准不确定度分量一览表</w:t>
      </w:r>
    </w:p>
    <w:p w14:paraId="6F07A672">
      <w:pPr>
        <w:snapToGrid w:val="0"/>
        <w:spacing w:line="360" w:lineRule="auto"/>
        <w:ind w:firstLine="420" w:firstLineChars="200"/>
      </w:pPr>
      <w:r>
        <w:rPr>
          <w:rFonts w:hint="eastAsia"/>
        </w:rPr>
        <w:t>输入量的标准不确定度分量汇总表如表</w:t>
      </w:r>
      <w:r>
        <w:t>A.2</w:t>
      </w:r>
      <w:r>
        <w:rPr>
          <w:rFonts w:hint="eastAsia"/>
        </w:rPr>
        <w:t>所示。</w:t>
      </w:r>
    </w:p>
    <w:p w14:paraId="13894C2B">
      <w:pPr>
        <w:snapToGrid w:val="0"/>
        <w:spacing w:line="360" w:lineRule="auto"/>
        <w:ind w:firstLine="420" w:firstLineChars="200"/>
        <w:jc w:val="center"/>
      </w:pPr>
      <w:r>
        <w:rPr>
          <w:rFonts w:hint="eastAsia"/>
        </w:rPr>
        <w:t>表</w:t>
      </w:r>
      <w:r>
        <w:t>A.2</w:t>
      </w:r>
      <w:r>
        <w:rPr>
          <w:rFonts w:hint="eastAsia"/>
        </w:rPr>
        <w:t xml:space="preserve"> 辐射照度示值误差标准不确定度分量一览表</w:t>
      </w:r>
    </w:p>
    <w:tbl>
      <w:tblPr>
        <w:tblStyle w:val="16"/>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238"/>
        <w:gridCol w:w="1418"/>
        <w:gridCol w:w="1701"/>
        <w:gridCol w:w="2121"/>
      </w:tblGrid>
      <w:tr w14:paraId="34531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7" w:type="dxa"/>
            <w:vMerge w:val="restart"/>
            <w:vAlign w:val="center"/>
          </w:tcPr>
          <w:p w14:paraId="153BBEB4">
            <w:pPr>
              <w:snapToGrid w:val="0"/>
              <w:spacing w:line="360" w:lineRule="auto"/>
              <w:jc w:val="center"/>
            </w:pPr>
            <w:r>
              <w:rPr>
                <w:rFonts w:hint="eastAsia"/>
              </w:rPr>
              <w:t>不确定度来源</w:t>
            </w:r>
          </w:p>
        </w:tc>
        <w:tc>
          <w:tcPr>
            <w:tcW w:w="2656" w:type="dxa"/>
            <w:gridSpan w:val="2"/>
            <w:vAlign w:val="center"/>
          </w:tcPr>
          <w:p w14:paraId="300FB1E5">
            <w:pPr>
              <w:snapToGrid w:val="0"/>
              <w:spacing w:line="360" w:lineRule="auto"/>
              <w:jc w:val="center"/>
            </w:pPr>
            <w:r>
              <w:rPr>
                <w:rFonts w:hint="eastAsia"/>
              </w:rPr>
              <w:t>不确定度</w:t>
            </w:r>
          </w:p>
        </w:tc>
        <w:tc>
          <w:tcPr>
            <w:tcW w:w="1701" w:type="dxa"/>
            <w:vMerge w:val="restart"/>
            <w:vAlign w:val="center"/>
          </w:tcPr>
          <w:p w14:paraId="65286200">
            <w:pPr>
              <w:snapToGrid w:val="0"/>
              <w:spacing w:line="276" w:lineRule="auto"/>
              <w:jc w:val="center"/>
            </w:pPr>
            <w:r>
              <w:rPr>
                <w:rFonts w:hint="eastAsia"/>
              </w:rPr>
              <w:t>灵敏系数</w:t>
            </w:r>
          </w:p>
        </w:tc>
        <w:tc>
          <w:tcPr>
            <w:tcW w:w="2121" w:type="dxa"/>
            <w:vMerge w:val="restart"/>
            <w:vAlign w:val="center"/>
          </w:tcPr>
          <w:p w14:paraId="59448299">
            <w:pPr>
              <w:snapToGrid w:val="0"/>
              <w:spacing w:line="276" w:lineRule="auto"/>
              <w:jc w:val="center"/>
            </w:pPr>
            <w:r>
              <w:rPr>
                <w:rFonts w:hint="eastAsia"/>
              </w:rPr>
              <w:t>标准不确定度分量</w:t>
            </w:r>
          </w:p>
        </w:tc>
      </w:tr>
      <w:tr w14:paraId="6D29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7" w:type="dxa"/>
            <w:vMerge w:val="continue"/>
            <w:vAlign w:val="center"/>
          </w:tcPr>
          <w:p w14:paraId="72B1B824">
            <w:pPr>
              <w:snapToGrid w:val="0"/>
              <w:spacing w:line="360" w:lineRule="auto"/>
              <w:jc w:val="center"/>
            </w:pPr>
          </w:p>
        </w:tc>
        <w:tc>
          <w:tcPr>
            <w:tcW w:w="1238" w:type="dxa"/>
            <w:vAlign w:val="center"/>
          </w:tcPr>
          <w:p w14:paraId="26F22EBF">
            <w:pPr>
              <w:snapToGrid w:val="0"/>
              <w:spacing w:line="360" w:lineRule="auto"/>
              <w:jc w:val="center"/>
            </w:pPr>
            <w:r>
              <w:rPr>
                <w:rFonts w:hint="eastAsia"/>
              </w:rPr>
              <w:t>符号</w:t>
            </w:r>
          </w:p>
        </w:tc>
        <w:tc>
          <w:tcPr>
            <w:tcW w:w="1418" w:type="dxa"/>
            <w:vAlign w:val="center"/>
          </w:tcPr>
          <w:p w14:paraId="33F81DFE">
            <w:pPr>
              <w:snapToGrid w:val="0"/>
              <w:spacing w:line="360" w:lineRule="auto"/>
              <w:jc w:val="center"/>
            </w:pPr>
            <w:r>
              <w:rPr>
                <w:rFonts w:hint="eastAsia"/>
              </w:rPr>
              <w:t>数值</w:t>
            </w:r>
          </w:p>
        </w:tc>
        <w:tc>
          <w:tcPr>
            <w:tcW w:w="1701" w:type="dxa"/>
            <w:vMerge w:val="continue"/>
          </w:tcPr>
          <w:p w14:paraId="50A3737D">
            <w:pPr>
              <w:snapToGrid w:val="0"/>
              <w:spacing w:line="360" w:lineRule="auto"/>
              <w:jc w:val="center"/>
            </w:pPr>
          </w:p>
        </w:tc>
        <w:tc>
          <w:tcPr>
            <w:tcW w:w="2121" w:type="dxa"/>
            <w:vMerge w:val="continue"/>
            <w:vAlign w:val="center"/>
          </w:tcPr>
          <w:p w14:paraId="29925090">
            <w:pPr>
              <w:snapToGrid w:val="0"/>
              <w:spacing w:line="360" w:lineRule="auto"/>
              <w:jc w:val="center"/>
            </w:pPr>
          </w:p>
        </w:tc>
      </w:tr>
      <w:tr w14:paraId="167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7" w:type="dxa"/>
            <w:vAlign w:val="center"/>
          </w:tcPr>
          <w:p w14:paraId="68B1B42E">
            <w:pPr>
              <w:snapToGrid w:val="0"/>
              <w:spacing w:line="360" w:lineRule="auto"/>
              <w:jc w:val="center"/>
            </w:pPr>
            <w:r>
              <w:rPr>
                <w:rFonts w:hint="eastAsia"/>
              </w:rPr>
              <w:t>测量重复性</w:t>
            </w:r>
          </w:p>
        </w:tc>
        <w:tc>
          <w:tcPr>
            <w:tcW w:w="1238" w:type="dxa"/>
            <w:vAlign w:val="center"/>
          </w:tcPr>
          <w:p w14:paraId="045A294C">
            <w:pPr>
              <w:snapToGrid w:val="0"/>
              <w:spacing w:line="360" w:lineRule="auto"/>
              <w:jc w:val="center"/>
            </w:pPr>
            <m:oMathPara>
              <m:oMath>
                <m:r>
                  <m:rPr/>
                  <w:rPr>
                    <w:rFonts w:ascii="Cambria Math" w:hAnsi="Cambria Math"/>
                  </w:rPr>
                  <m:t>u</m:t>
                </m:r>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si</m:t>
                    </m:r>
                    <m:ctrlPr>
                      <w:rPr>
                        <w:rFonts w:ascii="Cambria Math" w:hAnsi="Cambria Math"/>
                        <w:i/>
                      </w:rPr>
                    </m:ctrlPr>
                  </m:sub>
                </m:sSub>
                <m:r>
                  <m:rPr>
                    <m:sty m:val="p"/>
                  </m:rPr>
                  <w:rPr>
                    <w:rFonts w:ascii="Cambria Math" w:hAnsi="Cambria Math"/>
                  </w:rPr>
                  <m:t>)</m:t>
                </m:r>
              </m:oMath>
            </m:oMathPara>
          </w:p>
        </w:tc>
        <w:tc>
          <w:tcPr>
            <w:tcW w:w="1418" w:type="dxa"/>
            <w:vAlign w:val="center"/>
          </w:tcPr>
          <w:p w14:paraId="11EF0142">
            <w:pPr>
              <w:snapToGrid w:val="0"/>
              <w:spacing w:line="360" w:lineRule="auto"/>
              <w:jc w:val="center"/>
            </w:pPr>
            <w:r>
              <w:rPr>
                <w:rFonts w:hint="eastAsia"/>
              </w:rPr>
              <w:t>3</w:t>
            </w:r>
            <w:r>
              <w:t>.42</w:t>
            </w:r>
          </w:p>
        </w:tc>
        <w:tc>
          <w:tcPr>
            <w:tcW w:w="1701" w:type="dxa"/>
          </w:tcPr>
          <w:p w14:paraId="191000BE">
            <w:pPr>
              <w:snapToGrid w:val="0"/>
              <w:spacing w:line="360" w:lineRule="auto"/>
              <w:jc w:val="center"/>
            </w:pPr>
            <w:r>
              <w:rPr>
                <w:rFonts w:hint="eastAsia"/>
              </w:rPr>
              <w:t>0.006</w:t>
            </w:r>
          </w:p>
        </w:tc>
        <w:tc>
          <w:tcPr>
            <w:tcW w:w="2121" w:type="dxa"/>
          </w:tcPr>
          <w:p w14:paraId="15F9429B">
            <w:pPr>
              <w:snapToGrid w:val="0"/>
              <w:spacing w:line="360" w:lineRule="auto"/>
              <w:jc w:val="center"/>
            </w:pPr>
            <w:r>
              <w:rPr>
                <w:rFonts w:hint="eastAsia"/>
              </w:rPr>
              <w:t>4.21</w:t>
            </w:r>
            <m:oMath>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p>
        </w:tc>
      </w:tr>
      <w:tr w14:paraId="4B2C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7" w:type="dxa"/>
            <w:vAlign w:val="center"/>
          </w:tcPr>
          <w:p w14:paraId="52F7031E">
            <w:pPr>
              <w:snapToGrid w:val="0"/>
              <w:spacing w:line="360" w:lineRule="auto"/>
              <w:jc w:val="center"/>
            </w:pPr>
            <w:r>
              <w:rPr>
                <w:rFonts w:hint="eastAsia"/>
              </w:rPr>
              <w:t>标准辐射热计</w:t>
            </w:r>
          </w:p>
        </w:tc>
        <w:tc>
          <w:tcPr>
            <w:tcW w:w="1238" w:type="dxa"/>
          </w:tcPr>
          <w:p w14:paraId="693F85EA">
            <w:pPr>
              <w:snapToGrid w:val="0"/>
              <w:spacing w:line="360" w:lineRule="auto"/>
              <w:jc w:val="center"/>
            </w:pPr>
            <m:oMathPara>
              <m:oMath>
                <m:r>
                  <m:rPr/>
                  <w:rPr>
                    <w:rFonts w:ascii="Cambria Math" w:hAnsi="Cambria Math"/>
                  </w:rPr>
                  <m:t>u</m:t>
                </m:r>
                <m:d>
                  <m:dPr>
                    <m:ctrlPr>
                      <w:rPr>
                        <w:rFonts w:ascii="Cambria Math" w:hAnsi="Cambria Math"/>
                      </w:rPr>
                    </m:ctrlPr>
                  </m:d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ss</m:t>
                        </m:r>
                        <m:ctrlPr>
                          <w:rPr>
                            <w:rFonts w:ascii="Cambria Math" w:hAnsi="Cambria Math"/>
                            <w:i/>
                          </w:rPr>
                        </m:ctrlPr>
                      </m:sub>
                    </m:sSub>
                    <m:ctrlPr>
                      <w:rPr>
                        <w:rFonts w:ascii="Cambria Math" w:hAnsi="Cambria Math"/>
                      </w:rPr>
                    </m:ctrlPr>
                  </m:e>
                </m:d>
              </m:oMath>
            </m:oMathPara>
          </w:p>
        </w:tc>
        <w:tc>
          <w:tcPr>
            <w:tcW w:w="1418" w:type="dxa"/>
          </w:tcPr>
          <w:p w14:paraId="4501510D">
            <w:pPr>
              <w:snapToGrid w:val="0"/>
              <w:spacing w:line="360" w:lineRule="auto"/>
              <w:jc w:val="center"/>
            </w:pPr>
            <w:r>
              <w:rPr>
                <w:rFonts w:hint="eastAsia"/>
              </w:rPr>
              <w:t>4</w:t>
            </w:r>
            <w:r>
              <w:t>.25</w:t>
            </w:r>
          </w:p>
        </w:tc>
        <w:tc>
          <w:tcPr>
            <w:tcW w:w="1701" w:type="dxa"/>
          </w:tcPr>
          <w:p w14:paraId="5E8F40E7">
            <w:pPr>
              <w:snapToGrid w:val="0"/>
              <w:spacing w:line="360" w:lineRule="auto"/>
              <w:jc w:val="center"/>
            </w:pPr>
            <w:r>
              <w:rPr>
                <w:rFonts w:hint="eastAsia"/>
              </w:rPr>
              <w:t>0.006</w:t>
            </w:r>
          </w:p>
        </w:tc>
        <w:tc>
          <w:tcPr>
            <w:tcW w:w="2121" w:type="dxa"/>
          </w:tcPr>
          <w:p w14:paraId="38B9CE50">
            <w:pPr>
              <w:snapToGrid w:val="0"/>
              <w:spacing w:line="360" w:lineRule="auto"/>
              <w:jc w:val="center"/>
            </w:pPr>
            <m:oMathPara>
              <m:oMath>
                <m:r>
                  <m:rPr/>
                  <w:rPr>
                    <w:rFonts w:ascii="Cambria Math" w:hAnsi="Cambria Math"/>
                  </w:rPr>
                  <m:t>6.50×</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m:oMathPara>
          </w:p>
        </w:tc>
      </w:tr>
    </w:tbl>
    <w:p w14:paraId="08D88F4A">
      <w:pPr>
        <w:snapToGrid w:val="0"/>
        <w:spacing w:line="360" w:lineRule="auto"/>
      </w:pPr>
      <w:r>
        <w:rPr>
          <w:rFonts w:hint="eastAsia" w:ascii="黑体" w:hAnsi="Cambria Math" w:eastAsia="黑体"/>
        </w:rPr>
        <w:t>A</w:t>
      </w:r>
      <w:r>
        <w:rPr>
          <w:rFonts w:ascii="黑体" w:hAnsi="Cambria Math" w:eastAsia="黑体"/>
        </w:rPr>
        <w:t>2.5</w:t>
      </w:r>
      <w:r>
        <w:rPr>
          <w:rFonts w:hint="eastAsia"/>
        </w:rPr>
        <w:t xml:space="preserve"> 合成标准不确定度的计算</w:t>
      </w:r>
    </w:p>
    <w:p w14:paraId="76FDAF6B">
      <w:pPr>
        <w:snapToGrid w:val="0"/>
        <w:spacing w:line="360" w:lineRule="auto"/>
        <w:ind w:firstLine="420" w:firstLineChars="200"/>
      </w:pPr>
      <w:r>
        <w:rPr>
          <w:rFonts w:hint="eastAsia"/>
        </w:rPr>
        <w:t>辐射照度示值误差的合成标准不确定度计算如下式。</w:t>
      </w:r>
    </w:p>
    <w:p w14:paraId="7D3F9C25">
      <w:pPr>
        <w:snapToGrid w:val="0"/>
        <w:spacing w:line="360" w:lineRule="auto"/>
      </w:pPr>
      <m:oMathPara>
        <m:oMath>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c</m:t>
              </m:r>
              <m:ctrlPr>
                <w:rPr>
                  <w:rFonts w:ascii="Cambria Math" w:hAnsi="Cambria Math"/>
                  <w:i/>
                </w:rPr>
              </m:ctrlPr>
            </m:sub>
          </m:sSub>
          <m:d>
            <m:dPr>
              <m:ctrlPr>
                <w:rPr>
                  <w:rFonts w:ascii="Cambria Math" w:hAnsi="Cambria Math"/>
                </w:rPr>
              </m:ctrlPr>
            </m:dPr>
            <m:e>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rPr>
              </m:ctrlPr>
            </m:e>
          </m:d>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u</m:t>
                  </m:r>
                  <m:r>
                    <m:rPr>
                      <m:sty m:val="p"/>
                    </m:rPr>
                    <w:rPr>
                      <w:rFonts w:ascii="Cambria Math" w:hAnsi="Cambria Math"/>
                    </w:rPr>
                    <m:t>(</m:t>
                  </m:r>
                  <m:acc>
                    <m:accPr>
                      <m:chr m:val="̅"/>
                      <m:ctrlPr>
                        <w:rPr>
                          <w:rFonts w:ascii="Cambria Math" w:hAnsi="Cambria Math"/>
                          <w:i/>
                          <w:sz w:val="24"/>
                          <w:szCs w:val="24"/>
                        </w:rPr>
                      </m:ctrlPr>
                    </m:accPr>
                    <m:e>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si</m:t>
                          </m:r>
                          <m:ctrlPr>
                            <w:rPr>
                              <w:rFonts w:ascii="Cambria Math" w:hAnsi="Cambria Math"/>
                              <w:i/>
                              <w:sz w:val="24"/>
                              <w:szCs w:val="24"/>
                            </w:rPr>
                          </m:ctrlPr>
                        </m:sub>
                      </m:sSub>
                      <m:ctrlPr>
                        <w:rPr>
                          <w:rFonts w:ascii="Cambria Math" w:hAnsi="Cambria Math"/>
                          <w:i/>
                          <w:sz w:val="24"/>
                          <w:szCs w:val="24"/>
                        </w:rPr>
                      </m:ctrlPr>
                    </m:e>
                  </m:acc>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u</m:t>
                  </m:r>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ss</m:t>
                      </m:r>
                      <m:ctrlPr>
                        <w:rPr>
                          <w:rFonts w:ascii="Cambria Math" w:hAnsi="Cambria Math"/>
                          <w:i/>
                        </w:rPr>
                      </m:ctrlPr>
                    </m:sub>
                  </m:sSub>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r>
            <m:rPr>
              <m:sty m:val="p"/>
            </m:rPr>
            <w:rPr>
              <w:rFonts w:hint="eastAsia" w:ascii="Cambria Math" w:hAnsi="Cambria Math"/>
            </w:rPr>
            <m:t>=</m:t>
          </m:r>
          <m:r>
            <m:rPr>
              <m:sty m:val="p"/>
            </m:rPr>
            <w:rPr>
              <w:rFonts w:ascii="Cambria Math" w:hAnsi="Cambria Math"/>
            </w:rPr>
            <m:t>2.4%</m:t>
          </m:r>
        </m:oMath>
      </m:oMathPara>
    </w:p>
    <w:p w14:paraId="0C563673">
      <w:pPr>
        <w:snapToGrid w:val="0"/>
        <w:spacing w:line="360" w:lineRule="auto"/>
      </w:pPr>
      <w:r>
        <w:rPr>
          <w:rFonts w:hint="eastAsia" w:ascii="黑体" w:hAnsi="Cambria Math" w:eastAsia="黑体"/>
        </w:rPr>
        <w:t>A</w:t>
      </w:r>
      <w:r>
        <w:rPr>
          <w:rFonts w:ascii="黑体" w:hAnsi="Cambria Math" w:eastAsia="黑体"/>
        </w:rPr>
        <w:t>2.6</w:t>
      </w:r>
      <w:r>
        <w:rPr>
          <w:rFonts w:hint="eastAsia"/>
        </w:rPr>
        <w:t xml:space="preserve"> 扩展不确定度计算</w:t>
      </w:r>
    </w:p>
    <w:p w14:paraId="627388C1">
      <w:pPr>
        <w:snapToGrid w:val="0"/>
        <w:spacing w:line="360" w:lineRule="auto"/>
        <w:ind w:firstLine="420" w:firstLineChars="200"/>
      </w:pPr>
      <w:r>
        <w:rPr>
          <w:rFonts w:hint="eastAsia"/>
        </w:rPr>
        <w:t>取包含因子</w:t>
      </w:r>
      <w:r>
        <w:rPr>
          <w:rFonts w:hint="eastAsia"/>
          <w:i/>
        </w:rPr>
        <w:t>k</w:t>
      </w:r>
      <w:r>
        <w:rPr>
          <w:rFonts w:hint="eastAsia"/>
        </w:rPr>
        <w:t>=2，得到比光密度示值误差校准结果的扩展不确定度：</w:t>
      </w:r>
    </w:p>
    <w:p w14:paraId="6C0FDFFA">
      <w:pPr>
        <w:snapToGrid w:val="0"/>
        <w:spacing w:line="360" w:lineRule="auto"/>
        <w:rPr>
          <w:rFonts w:eastAsia="黑体"/>
          <w:bCs/>
          <w:sz w:val="28"/>
          <w:szCs w:val="28"/>
        </w:rPr>
      </w:pPr>
      <m:oMathPara>
        <m:oMath>
          <m:r>
            <m:rPr/>
            <w:rPr>
              <w:rFonts w:ascii="Cambria Math" w:hAnsi="Cambria Math"/>
            </w:rPr>
            <m:t>U</m:t>
          </m:r>
          <m:d>
            <m:dPr>
              <m:ctrlPr>
                <w:rPr>
                  <w:rFonts w:ascii="Cambria Math" w:hAnsi="Cambria Math"/>
                </w:rPr>
              </m:ctrlPr>
            </m:dPr>
            <m:e>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rPr>
              </m:ctrlPr>
            </m:e>
          </m:d>
          <m:r>
            <m:rPr>
              <m:sty m:val="p"/>
            </m:rPr>
            <w:rPr>
              <w:rFonts w:ascii="Cambria Math"/>
            </w:rPr>
            <m:t>=</m:t>
          </m:r>
          <m:r>
            <m:rPr/>
            <w:rPr>
              <w:rFonts w:ascii="Cambria Math"/>
            </w:rPr>
            <m:t>2</m:t>
          </m:r>
          <m:sSub>
            <m:sSubPr>
              <m:ctrlPr>
                <w:rPr>
                  <w:rFonts w:ascii="Cambria Math" w:hAnsi="Cambria Math"/>
                  <w:i/>
                </w:rPr>
              </m:ctrlPr>
            </m:sSubPr>
            <m:e>
              <m:r>
                <m:rPr/>
                <w:rPr>
                  <w:rFonts w:ascii="Cambria Math" w:hAnsi="Cambria Math"/>
                </w:rPr>
                <m:t>u</m:t>
              </m:r>
              <m:ctrlPr>
                <w:rPr>
                  <w:rFonts w:ascii="Cambria Math" w:hAnsi="Cambria Math"/>
                  <w:i/>
                </w:rPr>
              </m:ctrlPr>
            </m:e>
            <m:sub>
              <m:r>
                <m:rPr/>
                <w:rPr>
                  <w:rFonts w:hint="eastAsia" w:ascii="Cambria Math" w:hAnsi="Cambria Math"/>
                </w:rPr>
                <m:t>c</m:t>
              </m:r>
              <m:ctrlPr>
                <w:rPr>
                  <w:rFonts w:ascii="Cambria Math" w:hAnsi="Cambria Math"/>
                  <w:i/>
                </w:rPr>
              </m:ctrlPr>
            </m:sub>
          </m:sSub>
          <m:d>
            <m:dPr>
              <m:ctrlPr>
                <w:rPr>
                  <w:rFonts w:ascii="Cambria Math" w:hAnsi="Cambria Math"/>
                </w:rPr>
              </m:ctrlPr>
            </m:dPr>
            <m:e>
              <m:r>
                <m:rPr>
                  <m:sty m:val="p"/>
                </m:rPr>
                <w:rPr>
                  <w:rFonts w:ascii="Cambria Math" w:hAnsi="Cambria Math"/>
                </w:rPr>
                <m:t>∆</m:t>
              </m:r>
              <m:r>
                <m:rPr/>
                <w:rPr>
                  <w:rFonts w:hint="eastAsia" w:ascii="Cambria Math" w:hAnsi="Cambria Math"/>
                </w:rPr>
                <m:t>D</m:t>
              </m:r>
              <m:ctrlPr>
                <w:rPr>
                  <w:rFonts w:ascii="Cambria Math" w:hAnsi="Cambria Math"/>
                </w:rPr>
              </m:ctrlPr>
            </m:e>
          </m:d>
          <m:r>
            <m:rPr>
              <m:sty m:val="p"/>
            </m:rPr>
            <w:rPr>
              <w:rFonts w:ascii="Cambria Math"/>
            </w:rPr>
            <m:t>=5%</m:t>
          </m:r>
        </m:oMath>
      </m:oMathPara>
    </w:p>
    <w:p w14:paraId="38106365">
      <w:pPr>
        <w:pStyle w:val="2"/>
        <w:spacing w:line="480" w:lineRule="auto"/>
        <w:ind w:firstLine="0" w:firstLineChars="0"/>
        <w:rPr>
          <w:rFonts w:eastAsia="黑体"/>
          <w:bCs/>
          <w:sz w:val="28"/>
          <w:szCs w:val="28"/>
        </w:rPr>
      </w:pPr>
      <w:r>
        <w:rPr>
          <w:rFonts w:eastAsia="黑体"/>
          <w:bCs/>
          <w:sz w:val="28"/>
          <w:szCs w:val="28"/>
        </w:rPr>
        <w:br w:type="page"/>
      </w:r>
    </w:p>
    <w:p w14:paraId="67C1F0FB">
      <w:pPr>
        <w:spacing w:line="264" w:lineRule="auto"/>
        <w:jc w:val="left"/>
        <w:rPr>
          <w:rStyle w:val="21"/>
          <w:rFonts w:hint="eastAsia" w:ascii="黑体" w:hAnsi="黑体" w:eastAsia="黑体"/>
          <w:sz w:val="28"/>
          <w:szCs w:val="28"/>
        </w:rPr>
      </w:pPr>
      <w:r>
        <w:rPr>
          <w:rStyle w:val="21"/>
          <w:rFonts w:ascii="黑体" w:hAnsi="黑体" w:eastAsia="黑体"/>
          <w:sz w:val="28"/>
          <w:szCs w:val="28"/>
        </w:rPr>
        <w:t>附录</w:t>
      </w:r>
      <w:bookmarkEnd w:id="45"/>
      <w:r>
        <w:rPr>
          <w:rStyle w:val="21"/>
          <w:rFonts w:hint="eastAsia" w:ascii="黑体" w:hAnsi="黑体" w:eastAsia="黑体"/>
          <w:sz w:val="28"/>
          <w:szCs w:val="28"/>
        </w:rPr>
        <w:t>B</w:t>
      </w:r>
    </w:p>
    <w:p w14:paraId="58CB1A99">
      <w:pPr>
        <w:spacing w:line="360" w:lineRule="auto"/>
        <w:jc w:val="center"/>
        <w:rPr>
          <w:rFonts w:eastAsia="黑体"/>
          <w:sz w:val="28"/>
        </w:rPr>
      </w:pPr>
      <w:r>
        <w:rPr>
          <w:rFonts w:hint="eastAsia" w:eastAsia="黑体"/>
          <w:sz w:val="28"/>
        </w:rPr>
        <w:t>固体材料烟密度仪校准记录参考格式</w:t>
      </w:r>
    </w:p>
    <w:p w14:paraId="02C84B7C">
      <w:pPr>
        <w:spacing w:line="360" w:lineRule="auto"/>
        <w:rPr>
          <w:u w:val="single"/>
        </w:rPr>
      </w:pPr>
      <w:r>
        <w:rPr>
          <w:rFonts w:hint="eastAsia"/>
        </w:rPr>
        <w:t>仪器名称</w:t>
      </w:r>
      <w:r>
        <w:rPr>
          <w:rFonts w:hint="eastAsia"/>
          <w:u w:val="single"/>
        </w:rPr>
        <w:t xml:space="preserve">                    </w:t>
      </w:r>
      <w:r>
        <w:rPr>
          <w:u w:val="single"/>
        </w:rPr>
        <w:t xml:space="preserve">   </w:t>
      </w:r>
      <w:r>
        <w:rPr>
          <w:rFonts w:hint="eastAsia"/>
          <w:u w:val="single"/>
        </w:rPr>
        <w:t xml:space="preserve">  </w:t>
      </w:r>
      <w:r>
        <w:rPr>
          <w:rFonts w:hint="eastAsia"/>
          <w:u w:val="single"/>
        </w:rPr>
        <w:tab/>
      </w:r>
      <w:r>
        <w:rPr>
          <w:rFonts w:hint="eastAsia"/>
          <w:u w:val="single"/>
        </w:rPr>
        <w:t xml:space="preserve">  </w:t>
      </w:r>
      <w:r>
        <w:rPr>
          <w:u w:val="single"/>
        </w:rPr>
        <w:t xml:space="preserve">                      </w:t>
      </w:r>
      <w:r>
        <w:rPr>
          <w:rFonts w:hint="eastAsia"/>
        </w:rPr>
        <w:t>型号</w:t>
      </w:r>
      <w:r>
        <w:rPr>
          <w:rFonts w:hint="eastAsia"/>
          <w:u w:val="single"/>
        </w:rPr>
        <w:t xml:space="preserve">                        </w:t>
      </w:r>
      <w:r>
        <w:rPr>
          <w:u w:val="single"/>
        </w:rPr>
        <w:t xml:space="preserve">   </w:t>
      </w:r>
      <w:r>
        <w:rPr>
          <w:rFonts w:hint="eastAsia"/>
          <w:u w:val="single"/>
        </w:rPr>
        <w:t xml:space="preserve">   </w:t>
      </w:r>
    </w:p>
    <w:p w14:paraId="590476BD">
      <w:pPr>
        <w:spacing w:line="360" w:lineRule="auto"/>
      </w:pPr>
      <w:r>
        <w:rPr>
          <w:rFonts w:hint="eastAsia"/>
        </w:rPr>
        <w:t>出厂编号</w:t>
      </w:r>
      <w:r>
        <w:rPr>
          <w:rFonts w:hint="eastAsia"/>
          <w:u w:val="single"/>
        </w:rPr>
        <w:t xml:space="preserve">                  </w:t>
      </w:r>
      <w:r>
        <w:rPr>
          <w:u w:val="single"/>
        </w:rPr>
        <w:t xml:space="preserve">    </w:t>
      </w:r>
      <w:r>
        <w:rPr>
          <w:rFonts w:hint="eastAsia"/>
          <w:u w:val="single"/>
        </w:rPr>
        <w:t xml:space="preserve">   </w:t>
      </w:r>
      <w:r>
        <w:rPr>
          <w:rFonts w:hint="eastAsia"/>
          <w:u w:val="single"/>
        </w:rPr>
        <w:tab/>
      </w:r>
      <w:r>
        <w:rPr>
          <w:u w:val="single"/>
        </w:rPr>
        <w:t xml:space="preserve">                      </w:t>
      </w:r>
      <w:r>
        <w:rPr>
          <w:rFonts w:hint="eastAsia"/>
          <w:u w:val="single"/>
        </w:rPr>
        <w:t xml:space="preserve">  </w:t>
      </w:r>
      <w:r>
        <w:rPr>
          <w:rFonts w:hint="eastAsia"/>
        </w:rPr>
        <w:t>制造厂</w:t>
      </w:r>
      <w:r>
        <w:rPr>
          <w:rFonts w:hint="eastAsia"/>
          <w:u w:val="single"/>
        </w:rPr>
        <w:t xml:space="preserve">                       </w:t>
      </w:r>
      <w:r>
        <w:rPr>
          <w:u w:val="single"/>
        </w:rPr>
        <w:t xml:space="preserve">   </w:t>
      </w:r>
      <w:r>
        <w:rPr>
          <w:rFonts w:hint="eastAsia"/>
          <w:u w:val="single"/>
        </w:rPr>
        <w:t xml:space="preserve">  </w:t>
      </w:r>
    </w:p>
    <w:p w14:paraId="1B4C0E53">
      <w:pPr>
        <w:spacing w:line="360" w:lineRule="auto"/>
      </w:pPr>
      <w:r>
        <w:rPr>
          <w:rFonts w:hint="eastAsia"/>
        </w:rPr>
        <w:t>委托单位</w:t>
      </w:r>
      <w:r>
        <w:rPr>
          <w:rFonts w:hint="eastAsia"/>
          <w:u w:val="single"/>
        </w:rPr>
        <w:t xml:space="preserve">                     </w:t>
      </w:r>
      <w:r>
        <w:rPr>
          <w:u w:val="single"/>
        </w:rPr>
        <w:t xml:space="preserve">   </w:t>
      </w:r>
      <w:r>
        <w:rPr>
          <w:rFonts w:hint="eastAsia"/>
          <w:u w:val="single"/>
        </w:rPr>
        <w:t xml:space="preserve"> </w:t>
      </w:r>
      <w:r>
        <w:rPr>
          <w:rFonts w:hint="eastAsia"/>
          <w:u w:val="single"/>
        </w:rPr>
        <w:tab/>
      </w:r>
      <w:r>
        <w:rPr>
          <w:u w:val="single"/>
        </w:rPr>
        <w:t xml:space="preserve">                       </w:t>
      </w:r>
      <w:r>
        <w:t xml:space="preserve"> </w:t>
      </w:r>
      <w:r>
        <w:rPr>
          <w:rFonts w:hint="eastAsia"/>
        </w:rPr>
        <w:t xml:space="preserve">地址 </w:t>
      </w:r>
      <w:r>
        <w:rPr>
          <w:rFonts w:hint="eastAsia"/>
          <w:u w:val="single"/>
        </w:rPr>
        <w:t xml:space="preserve">                        </w:t>
      </w:r>
      <w:r>
        <w:rPr>
          <w:u w:val="single"/>
        </w:rPr>
        <w:t xml:space="preserve">   </w:t>
      </w:r>
      <w:r>
        <w:rPr>
          <w:rFonts w:hint="eastAsia"/>
          <w:u w:val="single"/>
        </w:rPr>
        <w:t xml:space="preserve"> </w:t>
      </w:r>
    </w:p>
    <w:p w14:paraId="4FCE5294">
      <w:pPr>
        <w:spacing w:line="360" w:lineRule="auto"/>
      </w:pPr>
      <w:r>
        <w:rPr>
          <w:rFonts w:hint="eastAsia"/>
        </w:rPr>
        <w:t>仪器编号</w:t>
      </w:r>
      <w:r>
        <w:rPr>
          <w:rFonts w:hint="eastAsia"/>
          <w:u w:val="single"/>
        </w:rPr>
        <w:t xml:space="preserve">  </w:t>
      </w:r>
      <w:r>
        <w:rPr>
          <w:rFonts w:hint="eastAsia"/>
        </w:rPr>
        <w:t xml:space="preserve">                </w:t>
      </w:r>
      <w:r>
        <w:t xml:space="preserve">   </w:t>
      </w:r>
      <w:r>
        <w:rPr>
          <w:rFonts w:hint="eastAsia"/>
        </w:rPr>
        <w:t xml:space="preserve">        </w:t>
      </w:r>
    </w:p>
    <w:p w14:paraId="3942DC18">
      <w:pPr>
        <w:spacing w:line="360" w:lineRule="auto"/>
      </w:pPr>
      <w:r>
        <w:rPr>
          <w:rFonts w:hint="eastAsia"/>
        </w:rPr>
        <w:t>相对湿度</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w:t>
      </w:r>
      <w:r>
        <w:rPr>
          <w:rFonts w:hint="eastAsia"/>
        </w:rPr>
        <w:t xml:space="preserve">校准环境温度 </w:t>
      </w:r>
      <w:r>
        <w:rPr>
          <w:rFonts w:hint="eastAsia"/>
          <w:u w:val="single"/>
        </w:rPr>
        <w:tab/>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 xml:space="preserve"> </w:t>
      </w:r>
    </w:p>
    <w:p w14:paraId="550266E0">
      <w:pPr>
        <w:spacing w:line="360" w:lineRule="auto"/>
        <w:rPr>
          <w:u w:val="single"/>
        </w:rPr>
      </w:pPr>
      <w:r>
        <w:rPr>
          <w:rFonts w:hint="eastAsia"/>
        </w:rPr>
        <w:t xml:space="preserve">校准依据 </w:t>
      </w:r>
      <w:r>
        <w:rPr>
          <w:rFonts w:hint="eastAsia"/>
          <w:u w:val="single"/>
        </w:rPr>
        <w:t xml:space="preserve"> </w:t>
      </w:r>
      <w:r>
        <w:rPr>
          <w:rFonts w:hint="eastAsia"/>
          <w:u w:val="single"/>
        </w:rPr>
        <w:tab/>
      </w:r>
      <w:r>
        <w:rPr>
          <w:rFonts w:hint="eastAsia"/>
          <w:u w:val="single"/>
        </w:rPr>
        <w:tab/>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r>
        <w:rPr>
          <w:rFonts w:hint="eastAsia"/>
          <w:u w:val="single"/>
        </w:rPr>
        <w:tab/>
      </w:r>
      <w:r>
        <w:rPr>
          <w:rFonts w:hint="eastAsia"/>
          <w:u w:val="single"/>
        </w:rPr>
        <w:t xml:space="preserve"> </w:t>
      </w:r>
      <w:r>
        <w:rPr>
          <w:u w:val="single"/>
        </w:rPr>
        <w:t xml:space="preserve">                 </w:t>
      </w:r>
      <w:r>
        <w:rPr>
          <w:rFonts w:hint="eastAsia"/>
        </w:rPr>
        <w:t xml:space="preserve"> 校准日期</w:t>
      </w:r>
      <w:r>
        <w:rPr>
          <w:rFonts w:hint="eastAsia"/>
          <w:u w:val="single"/>
        </w:rPr>
        <w:t xml:space="preserve">              </w:t>
      </w:r>
      <w:r>
        <w:rPr>
          <w:u w:val="single"/>
        </w:rPr>
        <w:t xml:space="preserve">       </w:t>
      </w:r>
      <w:r>
        <w:rPr>
          <w:rFonts w:hint="eastAsia"/>
          <w:u w:val="single"/>
        </w:rPr>
        <w:t xml:space="preserve">    </w:t>
      </w:r>
    </w:p>
    <w:p w14:paraId="58317744">
      <w:pPr>
        <w:spacing w:line="360" w:lineRule="auto"/>
        <w:rPr>
          <w:u w:val="single"/>
        </w:rPr>
      </w:pPr>
      <w:r>
        <w:rPr>
          <w:rFonts w:hint="eastAsia"/>
        </w:rPr>
        <w:t xml:space="preserve">校准员 </w:t>
      </w:r>
      <w:r>
        <w:rPr>
          <w:rFonts w:hint="eastAsia"/>
          <w:u w:val="single"/>
        </w:rPr>
        <w:t xml:space="preserve"> </w:t>
      </w:r>
      <w:r>
        <w:rPr>
          <w:rFonts w:hint="eastAsia"/>
          <w:u w:val="single"/>
        </w:rPr>
        <w:tab/>
      </w:r>
      <w:r>
        <w:rPr>
          <w:rFonts w:hint="eastAsia"/>
          <w:u w:val="single"/>
        </w:rPr>
        <w:tab/>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r>
        <w:rPr>
          <w:rFonts w:hint="eastAsia"/>
          <w:u w:val="single"/>
        </w:rPr>
        <w:tab/>
      </w:r>
      <w:r>
        <w:rPr>
          <w:rFonts w:hint="eastAsia"/>
          <w:u w:val="single"/>
        </w:rPr>
        <w:t xml:space="preserve">  </w:t>
      </w:r>
      <w:r>
        <w:rPr>
          <w:u w:val="single"/>
        </w:rPr>
        <w:t xml:space="preserve">                         </w:t>
      </w:r>
      <w:r>
        <w:rPr>
          <w:rFonts w:hint="eastAsia"/>
        </w:rPr>
        <w:t xml:space="preserve">核验员 </w:t>
      </w:r>
      <w:r>
        <w:rPr>
          <w:rFonts w:hint="eastAsia"/>
          <w:u w:val="single"/>
        </w:rPr>
        <w:t xml:space="preserve">               </w:t>
      </w:r>
      <w:r>
        <w:rPr>
          <w:u w:val="single"/>
        </w:rPr>
        <w:t xml:space="preserve">     </w:t>
      </w:r>
      <w:r>
        <w:rPr>
          <w:rFonts w:hint="eastAsia"/>
          <w:u w:val="single"/>
        </w:rPr>
        <w:t xml:space="preserve">    </w:t>
      </w:r>
      <w:r>
        <w:rPr>
          <w:u w:val="single"/>
        </w:rPr>
        <w:t xml:space="preserve">  </w:t>
      </w:r>
    </w:p>
    <w:p w14:paraId="7CB94803">
      <w:pPr>
        <w:numPr>
          <w:ilvl w:val="1"/>
          <w:numId w:val="1"/>
        </w:numPr>
        <w:tabs>
          <w:tab w:val="left" w:pos="0"/>
          <w:tab w:val="clear" w:pos="780"/>
        </w:tabs>
        <w:spacing w:line="360" w:lineRule="auto"/>
        <w:ind w:left="0" w:firstLine="0"/>
        <w:rPr>
          <w:rFonts w:hint="eastAsia" w:ascii="宋体" w:hAnsi="宋体"/>
        </w:rPr>
      </w:pPr>
      <w:r>
        <w:rPr>
          <w:rFonts w:hint="eastAsia" w:ascii="宋体" w:hAnsi="宋体"/>
        </w:rPr>
        <w:t>校准前检查：</w:t>
      </w:r>
      <w:r>
        <w:rPr>
          <w:rFonts w:hint="eastAsia"/>
          <w:u w:val="single"/>
        </w:rPr>
        <w:t xml:space="preserve">                         </w:t>
      </w:r>
    </w:p>
    <w:p w14:paraId="7D86A176">
      <w:pPr>
        <w:numPr>
          <w:ilvl w:val="1"/>
          <w:numId w:val="1"/>
        </w:numPr>
        <w:tabs>
          <w:tab w:val="left" w:pos="0"/>
          <w:tab w:val="clear" w:pos="780"/>
        </w:tabs>
        <w:spacing w:line="360" w:lineRule="auto"/>
        <w:ind w:left="0" w:firstLine="0"/>
        <w:rPr>
          <w:rFonts w:hint="eastAsia" w:ascii="宋体" w:hAnsi="宋体"/>
        </w:rPr>
      </w:pPr>
      <w:r>
        <w:rPr>
          <w:rFonts w:hint="eastAsia"/>
          <w:u w:val="single"/>
        </w:rPr>
        <w:t>透光率示值误差和重复性</w:t>
      </w:r>
    </w:p>
    <w:p w14:paraId="2DF9458B">
      <w:pPr>
        <w:pStyle w:val="43"/>
        <w:adjustRightInd w:val="0"/>
        <w:snapToGrid w:val="0"/>
        <w:spacing w:line="360" w:lineRule="auto"/>
      </w:pPr>
      <w:r>
        <w:rPr>
          <w:rFonts w:hint="eastAsia"/>
        </w:rPr>
        <w:t>标准滤光片型号</w:t>
      </w:r>
      <w:r>
        <w:rPr>
          <w:rFonts w:hint="eastAsia"/>
          <w:u w:val="single"/>
        </w:rPr>
        <w:t xml:space="preserve">                  </w:t>
      </w:r>
      <w:r>
        <w:t xml:space="preserve"> </w:t>
      </w:r>
      <w:r>
        <w:rPr>
          <w:rFonts w:hint="eastAsia"/>
        </w:rPr>
        <w:t>校准证书号</w:t>
      </w:r>
      <w:r>
        <w:rPr>
          <w:rFonts w:hint="eastAsia"/>
          <w:u w:val="single"/>
        </w:rPr>
        <w:t xml:space="preserve">                     </w:t>
      </w:r>
    </w:p>
    <w:p w14:paraId="4EEDBE36">
      <w:pPr>
        <w:pStyle w:val="43"/>
        <w:adjustRightInd w:val="0"/>
        <w:snapToGrid w:val="0"/>
        <w:spacing w:line="360" w:lineRule="auto"/>
      </w:pPr>
      <w:r>
        <w:rPr>
          <w:rFonts w:hint="eastAsia"/>
        </w:rPr>
        <w:t xml:space="preserve">测量不确定度 </w:t>
      </w:r>
      <w:r>
        <w:rPr>
          <w:rFonts w:hint="eastAsia"/>
          <w:u w:val="single"/>
        </w:rPr>
        <w:t xml:space="preserve">                     </w:t>
      </w:r>
    </w:p>
    <w:p w14:paraId="421DB2FC">
      <w:pPr>
        <w:tabs>
          <w:tab w:val="left" w:pos="0"/>
        </w:tabs>
        <w:spacing w:line="360" w:lineRule="auto"/>
        <w:rPr>
          <w:rFonts w:hint="eastAsia" w:ascii="宋体" w:hAnsi="宋体"/>
        </w:rPr>
      </w:pPr>
    </w:p>
    <w:tbl>
      <w:tblPr>
        <w:tblStyle w:val="16"/>
        <w:tblW w:w="6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57" w:type="dxa"/>
        </w:tblCellMar>
      </w:tblPr>
      <w:tblGrid>
        <w:gridCol w:w="943"/>
        <w:gridCol w:w="1417"/>
        <w:gridCol w:w="1732"/>
        <w:gridCol w:w="1418"/>
        <w:gridCol w:w="1417"/>
      </w:tblGrid>
      <w:tr w14:paraId="01B6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567" w:hRule="atLeast"/>
          <w:jc w:val="center"/>
        </w:trPr>
        <w:tc>
          <w:tcPr>
            <w:tcW w:w="943" w:type="dxa"/>
            <w:vAlign w:val="center"/>
          </w:tcPr>
          <w:p w14:paraId="4C682E86">
            <w:pPr>
              <w:tabs>
                <w:tab w:val="left" w:pos="267"/>
              </w:tabs>
              <w:adjustRightInd w:val="0"/>
              <w:snapToGrid w:val="0"/>
              <w:spacing w:line="276" w:lineRule="auto"/>
              <w:jc w:val="center"/>
            </w:pPr>
            <w:r>
              <w:rPr>
                <w:rFonts w:hint="eastAsia"/>
              </w:rPr>
              <w:t>序号</w:t>
            </w:r>
          </w:p>
        </w:tc>
        <w:tc>
          <w:tcPr>
            <w:tcW w:w="1417" w:type="dxa"/>
            <w:vAlign w:val="center"/>
          </w:tcPr>
          <w:p w14:paraId="53CDA2DF">
            <w:pPr>
              <w:tabs>
                <w:tab w:val="left" w:pos="267"/>
              </w:tabs>
              <w:adjustRightInd w:val="0"/>
              <w:snapToGrid w:val="0"/>
              <w:spacing w:line="360" w:lineRule="auto"/>
              <w:jc w:val="center"/>
            </w:pPr>
            <w:r>
              <w:rPr>
                <w:rFonts w:hint="eastAsia"/>
              </w:rPr>
              <w:t>标准值（%）</w:t>
            </w:r>
          </w:p>
        </w:tc>
        <w:tc>
          <w:tcPr>
            <w:tcW w:w="1732" w:type="dxa"/>
            <w:vAlign w:val="center"/>
          </w:tcPr>
          <w:p w14:paraId="12EE16D6">
            <w:pPr>
              <w:tabs>
                <w:tab w:val="left" w:pos="267"/>
              </w:tabs>
              <w:adjustRightInd w:val="0"/>
              <w:snapToGrid w:val="0"/>
              <w:spacing w:line="276" w:lineRule="auto"/>
              <w:jc w:val="center"/>
            </w:pPr>
            <w:r>
              <w:rPr>
                <w:rFonts w:hint="eastAsia"/>
              </w:rPr>
              <w:t>示值误差（%）</w:t>
            </w:r>
          </w:p>
        </w:tc>
        <w:tc>
          <w:tcPr>
            <w:tcW w:w="1418" w:type="dxa"/>
            <w:vAlign w:val="center"/>
          </w:tcPr>
          <w:p w14:paraId="52EED0B4">
            <w:pPr>
              <w:tabs>
                <w:tab w:val="left" w:pos="267"/>
              </w:tabs>
              <w:adjustRightInd w:val="0"/>
              <w:snapToGrid w:val="0"/>
              <w:spacing w:line="276" w:lineRule="auto"/>
              <w:jc w:val="center"/>
            </w:pPr>
            <w:r>
              <w:rPr>
                <w:rFonts w:hint="eastAsia"/>
              </w:rPr>
              <w:t>重复性（%）</w:t>
            </w:r>
          </w:p>
        </w:tc>
        <w:tc>
          <w:tcPr>
            <w:tcW w:w="1417" w:type="dxa"/>
            <w:vAlign w:val="center"/>
          </w:tcPr>
          <w:p w14:paraId="2EC975BD">
            <w:pPr>
              <w:tabs>
                <w:tab w:val="left" w:pos="267"/>
              </w:tabs>
              <w:adjustRightInd w:val="0"/>
              <w:snapToGrid w:val="0"/>
              <w:spacing w:line="276" w:lineRule="auto"/>
              <w:jc w:val="center"/>
            </w:pPr>
            <w:r>
              <w:rPr>
                <w:rFonts w:hint="eastAsia"/>
              </w:rPr>
              <w:t>扩展不确定度(</w:t>
            </w:r>
            <w:r>
              <w:rPr>
                <w:rFonts w:hint="eastAsia"/>
                <w:i/>
              </w:rPr>
              <w:t>k</w:t>
            </w:r>
            <w:r>
              <w:rPr>
                <w:rFonts w:hint="eastAsia"/>
              </w:rPr>
              <w:t>=2)</w:t>
            </w:r>
          </w:p>
        </w:tc>
      </w:tr>
      <w:tr w14:paraId="4738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78" w:hRule="atLeast"/>
          <w:jc w:val="center"/>
        </w:trPr>
        <w:tc>
          <w:tcPr>
            <w:tcW w:w="943" w:type="dxa"/>
            <w:vAlign w:val="center"/>
          </w:tcPr>
          <w:p w14:paraId="562B3031">
            <w:pPr>
              <w:tabs>
                <w:tab w:val="left" w:pos="267"/>
              </w:tabs>
              <w:adjustRightInd w:val="0"/>
              <w:snapToGrid w:val="0"/>
              <w:spacing w:line="276" w:lineRule="auto"/>
              <w:jc w:val="center"/>
            </w:pPr>
            <w:r>
              <w:rPr>
                <w:rFonts w:hint="eastAsia"/>
              </w:rPr>
              <w:t>1</w:t>
            </w:r>
          </w:p>
        </w:tc>
        <w:tc>
          <w:tcPr>
            <w:tcW w:w="1417" w:type="dxa"/>
            <w:vAlign w:val="center"/>
          </w:tcPr>
          <w:p w14:paraId="51E4A5D6">
            <w:pPr>
              <w:tabs>
                <w:tab w:val="left" w:pos="267"/>
              </w:tabs>
              <w:adjustRightInd w:val="0"/>
              <w:snapToGrid w:val="0"/>
              <w:spacing w:line="276" w:lineRule="auto"/>
              <w:jc w:val="center"/>
            </w:pPr>
          </w:p>
        </w:tc>
        <w:tc>
          <w:tcPr>
            <w:tcW w:w="1732" w:type="dxa"/>
            <w:vAlign w:val="center"/>
          </w:tcPr>
          <w:p w14:paraId="4BBAF203">
            <w:pPr>
              <w:tabs>
                <w:tab w:val="left" w:pos="267"/>
              </w:tabs>
              <w:adjustRightInd w:val="0"/>
              <w:snapToGrid w:val="0"/>
              <w:spacing w:line="276" w:lineRule="auto"/>
              <w:jc w:val="center"/>
            </w:pPr>
          </w:p>
        </w:tc>
        <w:tc>
          <w:tcPr>
            <w:tcW w:w="1418" w:type="dxa"/>
            <w:vAlign w:val="center"/>
          </w:tcPr>
          <w:p w14:paraId="5DE32CD0">
            <w:pPr>
              <w:tabs>
                <w:tab w:val="left" w:pos="267"/>
              </w:tabs>
              <w:adjustRightInd w:val="0"/>
              <w:snapToGrid w:val="0"/>
              <w:spacing w:line="276" w:lineRule="auto"/>
              <w:jc w:val="center"/>
            </w:pPr>
          </w:p>
        </w:tc>
        <w:tc>
          <w:tcPr>
            <w:tcW w:w="1417" w:type="dxa"/>
            <w:vAlign w:val="center"/>
          </w:tcPr>
          <w:p w14:paraId="6F3B0B97">
            <w:pPr>
              <w:tabs>
                <w:tab w:val="left" w:pos="267"/>
              </w:tabs>
              <w:adjustRightInd w:val="0"/>
              <w:snapToGrid w:val="0"/>
              <w:spacing w:line="276" w:lineRule="auto"/>
              <w:jc w:val="center"/>
            </w:pPr>
          </w:p>
        </w:tc>
      </w:tr>
      <w:tr w14:paraId="52D6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58" w:hRule="atLeast"/>
          <w:jc w:val="center"/>
        </w:trPr>
        <w:tc>
          <w:tcPr>
            <w:tcW w:w="943" w:type="dxa"/>
            <w:vAlign w:val="center"/>
          </w:tcPr>
          <w:p w14:paraId="5F72F306">
            <w:pPr>
              <w:tabs>
                <w:tab w:val="left" w:pos="267"/>
              </w:tabs>
              <w:adjustRightInd w:val="0"/>
              <w:snapToGrid w:val="0"/>
              <w:spacing w:line="276" w:lineRule="auto"/>
              <w:jc w:val="center"/>
            </w:pPr>
            <w:r>
              <w:rPr>
                <w:rFonts w:hint="eastAsia"/>
              </w:rPr>
              <w:t>2</w:t>
            </w:r>
          </w:p>
        </w:tc>
        <w:tc>
          <w:tcPr>
            <w:tcW w:w="1417" w:type="dxa"/>
            <w:vAlign w:val="center"/>
          </w:tcPr>
          <w:p w14:paraId="57E215EE">
            <w:pPr>
              <w:tabs>
                <w:tab w:val="left" w:pos="267"/>
              </w:tabs>
              <w:adjustRightInd w:val="0"/>
              <w:snapToGrid w:val="0"/>
              <w:spacing w:line="276" w:lineRule="auto"/>
              <w:jc w:val="center"/>
            </w:pPr>
          </w:p>
        </w:tc>
        <w:tc>
          <w:tcPr>
            <w:tcW w:w="1732" w:type="dxa"/>
            <w:vAlign w:val="center"/>
          </w:tcPr>
          <w:p w14:paraId="177022C1">
            <w:pPr>
              <w:tabs>
                <w:tab w:val="left" w:pos="267"/>
              </w:tabs>
              <w:adjustRightInd w:val="0"/>
              <w:snapToGrid w:val="0"/>
              <w:spacing w:line="276" w:lineRule="auto"/>
              <w:jc w:val="center"/>
            </w:pPr>
          </w:p>
        </w:tc>
        <w:tc>
          <w:tcPr>
            <w:tcW w:w="1418" w:type="dxa"/>
            <w:vAlign w:val="center"/>
          </w:tcPr>
          <w:p w14:paraId="43F2110B">
            <w:pPr>
              <w:tabs>
                <w:tab w:val="left" w:pos="267"/>
              </w:tabs>
              <w:adjustRightInd w:val="0"/>
              <w:snapToGrid w:val="0"/>
              <w:spacing w:line="276" w:lineRule="auto"/>
              <w:jc w:val="center"/>
            </w:pPr>
          </w:p>
        </w:tc>
        <w:tc>
          <w:tcPr>
            <w:tcW w:w="1417" w:type="dxa"/>
            <w:vAlign w:val="center"/>
          </w:tcPr>
          <w:p w14:paraId="38849F0D">
            <w:pPr>
              <w:tabs>
                <w:tab w:val="left" w:pos="267"/>
              </w:tabs>
              <w:adjustRightInd w:val="0"/>
              <w:snapToGrid w:val="0"/>
              <w:spacing w:line="276" w:lineRule="auto"/>
              <w:jc w:val="center"/>
            </w:pPr>
          </w:p>
        </w:tc>
      </w:tr>
      <w:tr w14:paraId="2BE9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379" w:hRule="atLeast"/>
          <w:jc w:val="center"/>
        </w:trPr>
        <w:tc>
          <w:tcPr>
            <w:tcW w:w="943" w:type="dxa"/>
            <w:vAlign w:val="center"/>
          </w:tcPr>
          <w:p w14:paraId="08A82305">
            <w:pPr>
              <w:tabs>
                <w:tab w:val="left" w:pos="267"/>
              </w:tabs>
              <w:adjustRightInd w:val="0"/>
              <w:snapToGrid w:val="0"/>
              <w:spacing w:line="276" w:lineRule="auto"/>
              <w:jc w:val="center"/>
            </w:pPr>
            <w:r>
              <w:rPr>
                <w:rFonts w:hint="eastAsia"/>
              </w:rPr>
              <w:t>3</w:t>
            </w:r>
          </w:p>
        </w:tc>
        <w:tc>
          <w:tcPr>
            <w:tcW w:w="1417" w:type="dxa"/>
            <w:vAlign w:val="center"/>
          </w:tcPr>
          <w:p w14:paraId="35542679">
            <w:pPr>
              <w:tabs>
                <w:tab w:val="left" w:pos="267"/>
              </w:tabs>
              <w:adjustRightInd w:val="0"/>
              <w:snapToGrid w:val="0"/>
              <w:spacing w:line="276" w:lineRule="auto"/>
              <w:jc w:val="center"/>
            </w:pPr>
          </w:p>
        </w:tc>
        <w:tc>
          <w:tcPr>
            <w:tcW w:w="1732" w:type="dxa"/>
            <w:vAlign w:val="center"/>
          </w:tcPr>
          <w:p w14:paraId="7854B783">
            <w:pPr>
              <w:tabs>
                <w:tab w:val="left" w:pos="267"/>
              </w:tabs>
              <w:adjustRightInd w:val="0"/>
              <w:snapToGrid w:val="0"/>
              <w:spacing w:line="276" w:lineRule="auto"/>
              <w:jc w:val="center"/>
            </w:pPr>
          </w:p>
        </w:tc>
        <w:tc>
          <w:tcPr>
            <w:tcW w:w="1418" w:type="dxa"/>
            <w:vAlign w:val="center"/>
          </w:tcPr>
          <w:p w14:paraId="65110856">
            <w:pPr>
              <w:tabs>
                <w:tab w:val="left" w:pos="267"/>
              </w:tabs>
              <w:adjustRightInd w:val="0"/>
              <w:snapToGrid w:val="0"/>
              <w:spacing w:line="276" w:lineRule="auto"/>
              <w:jc w:val="center"/>
            </w:pPr>
          </w:p>
        </w:tc>
        <w:tc>
          <w:tcPr>
            <w:tcW w:w="1417" w:type="dxa"/>
            <w:vAlign w:val="center"/>
          </w:tcPr>
          <w:p w14:paraId="5979ACDF">
            <w:pPr>
              <w:tabs>
                <w:tab w:val="left" w:pos="267"/>
              </w:tabs>
              <w:adjustRightInd w:val="0"/>
              <w:snapToGrid w:val="0"/>
              <w:spacing w:line="276" w:lineRule="auto"/>
              <w:jc w:val="center"/>
            </w:pPr>
          </w:p>
        </w:tc>
      </w:tr>
    </w:tbl>
    <w:p w14:paraId="4052B99E">
      <w:pPr>
        <w:numPr>
          <w:ilvl w:val="1"/>
          <w:numId w:val="1"/>
        </w:numPr>
        <w:tabs>
          <w:tab w:val="left" w:pos="0"/>
          <w:tab w:val="clear" w:pos="780"/>
        </w:tabs>
        <w:adjustRightInd w:val="0"/>
        <w:snapToGrid w:val="0"/>
        <w:spacing w:line="500" w:lineRule="exact"/>
        <w:ind w:left="0" w:firstLine="0"/>
        <w:rPr>
          <w:rFonts w:hint="eastAsia" w:ascii="宋体" w:hAnsi="宋体"/>
        </w:rPr>
      </w:pPr>
      <w:r>
        <w:rPr>
          <w:rFonts w:hint="eastAsia" w:ascii="宋体" w:hAnsi="宋体"/>
        </w:rPr>
        <w:t>辐射照度示值误差</w:t>
      </w:r>
    </w:p>
    <w:p w14:paraId="40A7A77C">
      <w:pPr>
        <w:adjustRightInd w:val="0"/>
        <w:snapToGrid w:val="0"/>
        <w:spacing w:line="360" w:lineRule="auto"/>
        <w:ind w:firstLine="420" w:firstLineChars="200"/>
      </w:pPr>
      <w:r>
        <w:rPr>
          <w:rFonts w:hint="eastAsia"/>
        </w:rPr>
        <w:t>标准辐射热计型号</w:t>
      </w:r>
      <w:r>
        <w:rPr>
          <w:rFonts w:hint="eastAsia"/>
          <w:u w:val="single"/>
        </w:rPr>
        <w:t xml:space="preserve">                  </w:t>
      </w:r>
      <w:r>
        <w:t xml:space="preserve"> </w:t>
      </w:r>
      <w:r>
        <w:rPr>
          <w:rFonts w:hint="eastAsia"/>
        </w:rPr>
        <w:t>校准证书号</w:t>
      </w:r>
      <w:r>
        <w:rPr>
          <w:rFonts w:hint="eastAsia"/>
          <w:u w:val="single"/>
        </w:rPr>
        <w:t xml:space="preserve">                     </w:t>
      </w:r>
    </w:p>
    <w:p w14:paraId="7AD105A7">
      <w:pPr>
        <w:adjustRightInd w:val="0"/>
        <w:snapToGrid w:val="0"/>
        <w:spacing w:line="360" w:lineRule="auto"/>
        <w:ind w:firstLine="420" w:firstLineChars="200"/>
      </w:pPr>
      <w:r>
        <w:rPr>
          <w:rFonts w:hint="eastAsia"/>
        </w:rPr>
        <w:t xml:space="preserve">测量不确定度 </w:t>
      </w:r>
      <w:r>
        <w:rPr>
          <w:rFonts w:hint="eastAsia"/>
          <w:u w:val="single"/>
        </w:rPr>
        <w:t xml:space="preserve">                     </w:t>
      </w:r>
    </w:p>
    <w:tbl>
      <w:tblPr>
        <w:tblStyle w:val="16"/>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362"/>
        <w:gridCol w:w="1362"/>
        <w:gridCol w:w="1362"/>
        <w:gridCol w:w="1363"/>
        <w:gridCol w:w="1144"/>
        <w:gridCol w:w="1122"/>
      </w:tblGrid>
      <w:tr w14:paraId="1653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restart"/>
            <w:vAlign w:val="center"/>
          </w:tcPr>
          <w:p w14:paraId="3FD2CE0E">
            <w:pPr>
              <w:spacing w:line="264" w:lineRule="auto"/>
              <w:jc w:val="center"/>
            </w:pPr>
            <w:bookmarkStart w:id="50" w:name="_Hlk28555388"/>
            <w:r>
              <w:rPr>
                <w:rFonts w:hAnsi="宋体"/>
              </w:rPr>
              <w:t>序号</w:t>
            </w:r>
          </w:p>
        </w:tc>
        <w:tc>
          <w:tcPr>
            <w:tcW w:w="2724" w:type="dxa"/>
            <w:gridSpan w:val="2"/>
            <w:vAlign w:val="center"/>
          </w:tcPr>
          <w:p w14:paraId="1537C8A1">
            <w:pPr>
              <w:spacing w:line="264" w:lineRule="auto"/>
              <w:jc w:val="center"/>
            </w:pPr>
            <w:r>
              <w:rPr>
                <w:rFonts w:hAnsi="宋体"/>
              </w:rPr>
              <w:t>标准辐射热计</w:t>
            </w:r>
          </w:p>
        </w:tc>
        <w:tc>
          <w:tcPr>
            <w:tcW w:w="2725" w:type="dxa"/>
            <w:gridSpan w:val="2"/>
            <w:vAlign w:val="center"/>
          </w:tcPr>
          <w:p w14:paraId="18187E4A">
            <w:pPr>
              <w:tabs>
                <w:tab w:val="left" w:pos="488"/>
              </w:tabs>
              <w:spacing w:line="264" w:lineRule="auto"/>
              <w:jc w:val="center"/>
            </w:pPr>
            <w:r>
              <w:rPr>
                <w:rFonts w:hAnsi="宋体"/>
              </w:rPr>
              <w:t>被校辐射热计</w:t>
            </w:r>
          </w:p>
        </w:tc>
        <w:tc>
          <w:tcPr>
            <w:tcW w:w="1144" w:type="dxa"/>
            <w:vMerge w:val="restart"/>
            <w:vAlign w:val="center"/>
          </w:tcPr>
          <w:p w14:paraId="7EB1A064">
            <w:pPr>
              <w:spacing w:line="264" w:lineRule="auto"/>
              <w:jc w:val="center"/>
            </w:pPr>
            <w:r>
              <w:rPr>
                <w:rFonts w:hAnsi="宋体"/>
              </w:rPr>
              <w:t>示值误差</w:t>
            </w:r>
            <m:oMath>
              <m:r>
                <m:rPr>
                  <m:sty m:val="p"/>
                </m:rPr>
                <w:rPr>
                  <w:rFonts w:ascii="Cambria Math" w:hAnsi="Cambria Math"/>
                </w:rPr>
                <m:t>∆</m:t>
              </m:r>
              <m:r>
                <m:rPr/>
                <w:rPr>
                  <w:rFonts w:hint="eastAsia" w:ascii="Cambria Math" w:hAnsi="Cambria Math"/>
                </w:rPr>
                <m:t>E</m:t>
              </m:r>
            </m:oMath>
          </w:p>
        </w:tc>
        <w:tc>
          <w:tcPr>
            <w:tcW w:w="1122" w:type="dxa"/>
            <w:vMerge w:val="restart"/>
          </w:tcPr>
          <w:p w14:paraId="7F630F6A">
            <w:pPr>
              <w:spacing w:line="264" w:lineRule="auto"/>
              <w:jc w:val="center"/>
              <w:rPr>
                <w:rFonts w:hint="eastAsia" w:hAnsi="宋体"/>
              </w:rPr>
            </w:pPr>
            <w:r>
              <w:rPr>
                <w:rFonts w:hint="eastAsia" w:hAnsi="宋体"/>
              </w:rPr>
              <w:t>扩展不确定度(</w:t>
            </w:r>
            <w:r>
              <w:rPr>
                <w:rFonts w:hAnsi="宋体"/>
                <w:i/>
                <w:iCs/>
              </w:rPr>
              <w:t>k</w:t>
            </w:r>
            <w:r>
              <w:rPr>
                <w:rFonts w:hint="eastAsia" w:hAnsi="宋体"/>
              </w:rPr>
              <w:t>=2)</w:t>
            </w:r>
          </w:p>
        </w:tc>
      </w:tr>
      <w:tr w14:paraId="6A1A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continue"/>
            <w:vAlign w:val="center"/>
          </w:tcPr>
          <w:p w14:paraId="160BF8DE">
            <w:pPr>
              <w:spacing w:line="264" w:lineRule="auto"/>
              <w:jc w:val="center"/>
            </w:pPr>
          </w:p>
        </w:tc>
        <w:tc>
          <w:tcPr>
            <w:tcW w:w="1362" w:type="dxa"/>
            <w:vAlign w:val="center"/>
          </w:tcPr>
          <w:p w14:paraId="645716A4">
            <w:pPr>
              <w:spacing w:line="264" w:lineRule="auto"/>
              <w:jc w:val="center"/>
            </w:pPr>
            <w:r>
              <w:rPr>
                <w:rFonts w:hAnsi="宋体"/>
              </w:rPr>
              <w:t>测量值</w:t>
            </w:r>
            <m:oMath>
              <m:sSub>
                <m:sSubPr>
                  <m:ctrlPr>
                    <w:rPr>
                      <w:rFonts w:ascii="Cambria Math" w:hAnsi="Cambria Math"/>
                      <w:i/>
                    </w:rPr>
                  </m:ctrlPr>
                </m:sSubPr>
                <m:e>
                  <m:r>
                    <m:rPr/>
                    <w:rPr>
                      <w:rFonts w:hint="eastAsia" w:ascii="Cambria Math" w:hAnsi="Cambria Math"/>
                    </w:rPr>
                    <m:t>E</m:t>
                  </m:r>
                  <m:ctrlPr>
                    <w:rPr>
                      <w:rFonts w:ascii="Cambria Math" w:hAnsi="Cambria Math"/>
                      <w:i/>
                    </w:rPr>
                  </m:ctrlPr>
                </m:e>
                <m:sub>
                  <m:r>
                    <m:rPr/>
                    <w:rPr>
                      <w:rFonts w:hint="eastAsia" w:ascii="Cambria Math" w:hAnsi="Cambria Math"/>
                    </w:rPr>
                    <m:t>si</m:t>
                  </m:r>
                  <m:ctrlPr>
                    <w:rPr>
                      <w:rFonts w:ascii="Cambria Math" w:hAnsi="Cambria Math"/>
                      <w:i/>
                    </w:rPr>
                  </m:ctrlPr>
                </m:sub>
              </m:sSub>
            </m:oMath>
            <w:r>
              <w:rPr>
                <w:rFonts w:hint="eastAsia" w:hAnsi="宋体"/>
              </w:rPr>
              <w:t xml:space="preserve"> </w:t>
            </w:r>
            <w:r>
              <w:t>kW/m</w:t>
            </w:r>
            <w:r>
              <w:rPr>
                <w:vertAlign w:val="superscript"/>
              </w:rPr>
              <w:t>2</w:t>
            </w:r>
          </w:p>
        </w:tc>
        <w:tc>
          <w:tcPr>
            <w:tcW w:w="1362" w:type="dxa"/>
            <w:vAlign w:val="center"/>
          </w:tcPr>
          <w:p w14:paraId="7C0C820B">
            <w:pPr>
              <w:spacing w:line="264" w:lineRule="auto"/>
              <w:jc w:val="center"/>
            </w:pPr>
            <w:r>
              <w:rPr>
                <w:rFonts w:hAnsi="宋体"/>
              </w:rPr>
              <w:t>平均值</w:t>
            </w:r>
            <m:oMath>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si</m:t>
                  </m:r>
                  <m:ctrlPr>
                    <w:rPr>
                      <w:rFonts w:ascii="Cambria Math" w:hAnsi="Cambria Math"/>
                      <w:i/>
                    </w:rPr>
                  </m:ctrlPr>
                </m:sub>
              </m:sSub>
            </m:oMath>
            <w:r>
              <w:rPr>
                <w:rFonts w:hint="eastAsia" w:hAnsi="宋体"/>
              </w:rPr>
              <w:t xml:space="preserve"> </w:t>
            </w:r>
            <w:r>
              <w:t>kW/m</w:t>
            </w:r>
            <w:r>
              <w:rPr>
                <w:vertAlign w:val="superscript"/>
              </w:rPr>
              <w:t>2</w:t>
            </w:r>
          </w:p>
        </w:tc>
        <w:tc>
          <w:tcPr>
            <w:tcW w:w="1362" w:type="dxa"/>
            <w:vAlign w:val="center"/>
          </w:tcPr>
          <w:p w14:paraId="06E5D27E">
            <w:pPr>
              <w:spacing w:line="264" w:lineRule="auto"/>
              <w:jc w:val="center"/>
            </w:pPr>
            <w:r>
              <w:rPr>
                <w:rFonts w:hAnsi="宋体"/>
              </w:rPr>
              <w:t>测量值</w:t>
            </w:r>
            <m:oMath>
              <m:sSub>
                <m:sSubPr>
                  <m:ctrlPr>
                    <w:rPr>
                      <w:rFonts w:ascii="Cambria Math" w:hAnsi="Cambria Math"/>
                      <w:i/>
                    </w:rPr>
                  </m:ctrlPr>
                </m:sSubPr>
                <m:e>
                  <m:r>
                    <m:rPr/>
                    <w:rPr>
                      <w:rFonts w:hint="eastAsia" w:ascii="Cambria Math" w:hAnsi="Cambria Math"/>
                    </w:rPr>
                    <m:t>E</m:t>
                  </m:r>
                  <m:ctrlPr>
                    <w:rPr>
                      <w:rFonts w:ascii="Cambria Math" w:hAnsi="Cambria Math"/>
                      <w:i/>
                    </w:rPr>
                  </m:ctrlPr>
                </m:e>
                <m:sub>
                  <m:r>
                    <m:rPr/>
                    <w:rPr>
                      <w:rFonts w:hint="eastAsia" w:ascii="Cambria Math" w:hAnsi="Cambria Math"/>
                    </w:rPr>
                    <m:t>i</m:t>
                  </m:r>
                  <m:ctrlPr>
                    <w:rPr>
                      <w:rFonts w:ascii="Cambria Math" w:hAnsi="Cambria Math"/>
                      <w:i/>
                    </w:rPr>
                  </m:ctrlPr>
                </m:sub>
              </m:sSub>
            </m:oMath>
            <w:r>
              <w:rPr>
                <w:rFonts w:hint="eastAsia" w:hAnsi="宋体"/>
              </w:rPr>
              <w:t xml:space="preserve"> </w:t>
            </w:r>
            <w:r>
              <w:t>kW/m</w:t>
            </w:r>
            <w:r>
              <w:rPr>
                <w:vertAlign w:val="superscript"/>
              </w:rPr>
              <w:t>2</w:t>
            </w:r>
          </w:p>
        </w:tc>
        <w:tc>
          <w:tcPr>
            <w:tcW w:w="1363" w:type="dxa"/>
            <w:vAlign w:val="center"/>
          </w:tcPr>
          <w:p w14:paraId="39C8CDDE">
            <w:pPr>
              <w:spacing w:line="264" w:lineRule="auto"/>
              <w:jc w:val="center"/>
            </w:pPr>
            <w:r>
              <w:rPr>
                <w:rFonts w:hAnsi="宋体"/>
              </w:rPr>
              <w:t>平均值</w:t>
            </w:r>
            <m:oMath>
              <m:sSub>
                <m:sSubPr>
                  <m:ctrlPr>
                    <w:rPr>
                      <w:rFonts w:ascii="Cambria Math" w:hAnsi="Cambria Math"/>
                      <w:i/>
                    </w:rPr>
                  </m:ctrlPr>
                </m:sSubPr>
                <m:e>
                  <m:acc>
                    <m:accPr>
                      <m:chr m:val="̅"/>
                      <m:ctrlPr>
                        <w:rPr>
                          <w:rFonts w:ascii="Cambria Math" w:hAnsi="Cambria Math"/>
                          <w:i/>
                        </w:rPr>
                      </m:ctrlPr>
                    </m:accPr>
                    <m:e>
                      <m:r>
                        <m:rPr/>
                        <w:rPr>
                          <w:rFonts w:hint="eastAsia" w:ascii="Cambria Math" w:hAnsi="Cambria Math"/>
                        </w:rPr>
                        <m:t>E</m:t>
                      </m:r>
                      <m:ctrlPr>
                        <w:rPr>
                          <w:rFonts w:ascii="Cambria Math" w:hAnsi="Cambria Math"/>
                          <w:i/>
                        </w:rPr>
                      </m:ctrlPr>
                    </m:e>
                  </m:acc>
                  <m:ctrlPr>
                    <w:rPr>
                      <w:rFonts w:ascii="Cambria Math" w:hAnsi="Cambria Math"/>
                      <w:i/>
                    </w:rPr>
                  </m:ctrlPr>
                </m:e>
                <m:sub>
                  <m:r>
                    <m:rPr/>
                    <w:rPr>
                      <w:rFonts w:hint="eastAsia" w:ascii="Cambria Math" w:hAnsi="Cambria Math"/>
                    </w:rPr>
                    <m:t>i</m:t>
                  </m:r>
                  <m:ctrlPr>
                    <w:rPr>
                      <w:rFonts w:ascii="Cambria Math" w:hAnsi="Cambria Math"/>
                      <w:i/>
                    </w:rPr>
                  </m:ctrlPr>
                </m:sub>
              </m:sSub>
            </m:oMath>
            <w:r>
              <w:rPr>
                <w:rFonts w:hint="eastAsia" w:hAnsi="宋体"/>
              </w:rPr>
              <w:t xml:space="preserve"> </w:t>
            </w:r>
            <w:r>
              <w:t>kW/m</w:t>
            </w:r>
            <w:r>
              <w:rPr>
                <w:vertAlign w:val="superscript"/>
              </w:rPr>
              <w:t>2</w:t>
            </w:r>
          </w:p>
        </w:tc>
        <w:tc>
          <w:tcPr>
            <w:tcW w:w="1144" w:type="dxa"/>
            <w:vMerge w:val="continue"/>
            <w:vAlign w:val="center"/>
          </w:tcPr>
          <w:p w14:paraId="678E89EC">
            <w:pPr>
              <w:spacing w:line="264" w:lineRule="auto"/>
              <w:jc w:val="center"/>
            </w:pPr>
          </w:p>
        </w:tc>
        <w:tc>
          <w:tcPr>
            <w:tcW w:w="1122" w:type="dxa"/>
            <w:vMerge w:val="continue"/>
          </w:tcPr>
          <w:p w14:paraId="624E1F7D">
            <w:pPr>
              <w:spacing w:line="264" w:lineRule="auto"/>
              <w:jc w:val="center"/>
            </w:pPr>
          </w:p>
        </w:tc>
      </w:tr>
      <w:tr w14:paraId="341B9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restart"/>
            <w:vAlign w:val="center"/>
          </w:tcPr>
          <w:p w14:paraId="25622458">
            <w:pPr>
              <w:spacing w:line="264" w:lineRule="auto"/>
              <w:jc w:val="center"/>
            </w:pPr>
            <w:r>
              <w:rPr>
                <w:rFonts w:hint="eastAsia"/>
              </w:rPr>
              <w:t>1</w:t>
            </w:r>
          </w:p>
        </w:tc>
        <w:tc>
          <w:tcPr>
            <w:tcW w:w="1362" w:type="dxa"/>
            <w:vAlign w:val="center"/>
          </w:tcPr>
          <w:p w14:paraId="411900F6">
            <w:pPr>
              <w:spacing w:line="264" w:lineRule="auto"/>
              <w:jc w:val="center"/>
            </w:pPr>
          </w:p>
        </w:tc>
        <w:tc>
          <w:tcPr>
            <w:tcW w:w="1362" w:type="dxa"/>
            <w:vMerge w:val="restart"/>
            <w:vAlign w:val="center"/>
          </w:tcPr>
          <w:p w14:paraId="7746B1A9">
            <w:pPr>
              <w:spacing w:line="264" w:lineRule="auto"/>
              <w:jc w:val="center"/>
            </w:pPr>
          </w:p>
        </w:tc>
        <w:tc>
          <w:tcPr>
            <w:tcW w:w="1362" w:type="dxa"/>
            <w:vAlign w:val="center"/>
          </w:tcPr>
          <w:p w14:paraId="6E1A877E">
            <w:pPr>
              <w:spacing w:line="264" w:lineRule="auto"/>
              <w:jc w:val="center"/>
            </w:pPr>
          </w:p>
        </w:tc>
        <w:tc>
          <w:tcPr>
            <w:tcW w:w="1363" w:type="dxa"/>
            <w:vMerge w:val="restart"/>
            <w:vAlign w:val="center"/>
          </w:tcPr>
          <w:p w14:paraId="0ACCEA95">
            <w:pPr>
              <w:spacing w:line="264" w:lineRule="auto"/>
              <w:jc w:val="center"/>
            </w:pPr>
          </w:p>
        </w:tc>
        <w:tc>
          <w:tcPr>
            <w:tcW w:w="1144" w:type="dxa"/>
            <w:vMerge w:val="restart"/>
            <w:vAlign w:val="center"/>
          </w:tcPr>
          <w:p w14:paraId="725008B4">
            <w:pPr>
              <w:spacing w:line="264" w:lineRule="auto"/>
              <w:jc w:val="center"/>
            </w:pPr>
          </w:p>
        </w:tc>
        <w:tc>
          <w:tcPr>
            <w:tcW w:w="1122" w:type="dxa"/>
            <w:vMerge w:val="restart"/>
            <w:vAlign w:val="center"/>
          </w:tcPr>
          <w:p w14:paraId="036AD289">
            <w:pPr>
              <w:spacing w:line="264" w:lineRule="auto"/>
              <w:jc w:val="center"/>
            </w:pPr>
          </w:p>
        </w:tc>
      </w:tr>
      <w:tr w14:paraId="173B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continue"/>
            <w:vAlign w:val="center"/>
          </w:tcPr>
          <w:p w14:paraId="207180F0">
            <w:pPr>
              <w:spacing w:line="264" w:lineRule="auto"/>
              <w:jc w:val="center"/>
            </w:pPr>
          </w:p>
        </w:tc>
        <w:tc>
          <w:tcPr>
            <w:tcW w:w="1362" w:type="dxa"/>
            <w:vAlign w:val="center"/>
          </w:tcPr>
          <w:p w14:paraId="3D6C3E98">
            <w:pPr>
              <w:spacing w:line="264" w:lineRule="auto"/>
              <w:jc w:val="center"/>
            </w:pPr>
          </w:p>
        </w:tc>
        <w:tc>
          <w:tcPr>
            <w:tcW w:w="1362" w:type="dxa"/>
            <w:vMerge w:val="continue"/>
            <w:vAlign w:val="center"/>
          </w:tcPr>
          <w:p w14:paraId="7CAA2B07">
            <w:pPr>
              <w:spacing w:line="264" w:lineRule="auto"/>
              <w:jc w:val="center"/>
            </w:pPr>
          </w:p>
        </w:tc>
        <w:tc>
          <w:tcPr>
            <w:tcW w:w="1362" w:type="dxa"/>
            <w:vAlign w:val="center"/>
          </w:tcPr>
          <w:p w14:paraId="27419545">
            <w:pPr>
              <w:spacing w:line="264" w:lineRule="auto"/>
              <w:jc w:val="center"/>
            </w:pPr>
          </w:p>
        </w:tc>
        <w:tc>
          <w:tcPr>
            <w:tcW w:w="1363" w:type="dxa"/>
            <w:vMerge w:val="continue"/>
            <w:vAlign w:val="center"/>
          </w:tcPr>
          <w:p w14:paraId="1A0836EF">
            <w:pPr>
              <w:spacing w:line="264" w:lineRule="auto"/>
              <w:jc w:val="center"/>
            </w:pPr>
          </w:p>
        </w:tc>
        <w:tc>
          <w:tcPr>
            <w:tcW w:w="1144" w:type="dxa"/>
            <w:vMerge w:val="continue"/>
            <w:vAlign w:val="center"/>
          </w:tcPr>
          <w:p w14:paraId="48303183">
            <w:pPr>
              <w:spacing w:line="264" w:lineRule="auto"/>
              <w:jc w:val="center"/>
            </w:pPr>
          </w:p>
        </w:tc>
        <w:tc>
          <w:tcPr>
            <w:tcW w:w="1122" w:type="dxa"/>
            <w:vMerge w:val="continue"/>
            <w:vAlign w:val="center"/>
          </w:tcPr>
          <w:p w14:paraId="7BE83B63">
            <w:pPr>
              <w:spacing w:line="264" w:lineRule="auto"/>
              <w:jc w:val="center"/>
            </w:pPr>
          </w:p>
        </w:tc>
      </w:tr>
      <w:tr w14:paraId="2760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continue"/>
            <w:vAlign w:val="center"/>
          </w:tcPr>
          <w:p w14:paraId="58E4A844">
            <w:pPr>
              <w:spacing w:line="264" w:lineRule="auto"/>
              <w:jc w:val="center"/>
            </w:pPr>
          </w:p>
        </w:tc>
        <w:tc>
          <w:tcPr>
            <w:tcW w:w="1362" w:type="dxa"/>
            <w:vAlign w:val="center"/>
          </w:tcPr>
          <w:p w14:paraId="57181277">
            <w:pPr>
              <w:spacing w:line="264" w:lineRule="auto"/>
              <w:jc w:val="center"/>
            </w:pPr>
          </w:p>
        </w:tc>
        <w:tc>
          <w:tcPr>
            <w:tcW w:w="1362" w:type="dxa"/>
            <w:vMerge w:val="continue"/>
            <w:vAlign w:val="center"/>
          </w:tcPr>
          <w:p w14:paraId="5189504C">
            <w:pPr>
              <w:spacing w:line="264" w:lineRule="auto"/>
              <w:jc w:val="center"/>
            </w:pPr>
          </w:p>
        </w:tc>
        <w:tc>
          <w:tcPr>
            <w:tcW w:w="1362" w:type="dxa"/>
            <w:vAlign w:val="center"/>
          </w:tcPr>
          <w:p w14:paraId="1BDA511F">
            <w:pPr>
              <w:spacing w:line="264" w:lineRule="auto"/>
              <w:jc w:val="center"/>
            </w:pPr>
          </w:p>
        </w:tc>
        <w:tc>
          <w:tcPr>
            <w:tcW w:w="1363" w:type="dxa"/>
            <w:vMerge w:val="continue"/>
            <w:vAlign w:val="center"/>
          </w:tcPr>
          <w:p w14:paraId="2166E01D">
            <w:pPr>
              <w:spacing w:line="264" w:lineRule="auto"/>
              <w:jc w:val="center"/>
            </w:pPr>
          </w:p>
        </w:tc>
        <w:tc>
          <w:tcPr>
            <w:tcW w:w="1144" w:type="dxa"/>
            <w:vMerge w:val="continue"/>
            <w:vAlign w:val="center"/>
          </w:tcPr>
          <w:p w14:paraId="02B087D0">
            <w:pPr>
              <w:spacing w:line="264" w:lineRule="auto"/>
              <w:jc w:val="center"/>
            </w:pPr>
          </w:p>
        </w:tc>
        <w:tc>
          <w:tcPr>
            <w:tcW w:w="1122" w:type="dxa"/>
            <w:vMerge w:val="continue"/>
            <w:vAlign w:val="center"/>
          </w:tcPr>
          <w:p w14:paraId="4956F0C8">
            <w:pPr>
              <w:spacing w:line="264" w:lineRule="auto"/>
              <w:jc w:val="center"/>
            </w:pPr>
          </w:p>
        </w:tc>
      </w:tr>
      <w:tr w14:paraId="0784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restart"/>
            <w:vAlign w:val="center"/>
          </w:tcPr>
          <w:p w14:paraId="2A1301E4">
            <w:pPr>
              <w:spacing w:line="264" w:lineRule="auto"/>
              <w:jc w:val="center"/>
            </w:pPr>
            <w:r>
              <w:rPr>
                <w:rFonts w:hint="eastAsia"/>
              </w:rPr>
              <w:t>2</w:t>
            </w:r>
          </w:p>
        </w:tc>
        <w:tc>
          <w:tcPr>
            <w:tcW w:w="1362" w:type="dxa"/>
            <w:vAlign w:val="center"/>
          </w:tcPr>
          <w:p w14:paraId="363C4858">
            <w:pPr>
              <w:spacing w:line="264" w:lineRule="auto"/>
              <w:jc w:val="center"/>
            </w:pPr>
          </w:p>
        </w:tc>
        <w:tc>
          <w:tcPr>
            <w:tcW w:w="1362" w:type="dxa"/>
            <w:vMerge w:val="restart"/>
            <w:vAlign w:val="center"/>
          </w:tcPr>
          <w:p w14:paraId="41B01A81">
            <w:pPr>
              <w:spacing w:line="264" w:lineRule="auto"/>
              <w:jc w:val="center"/>
            </w:pPr>
          </w:p>
        </w:tc>
        <w:tc>
          <w:tcPr>
            <w:tcW w:w="1362" w:type="dxa"/>
            <w:vAlign w:val="center"/>
          </w:tcPr>
          <w:p w14:paraId="1BF5AC18">
            <w:pPr>
              <w:spacing w:line="264" w:lineRule="auto"/>
              <w:jc w:val="center"/>
            </w:pPr>
          </w:p>
        </w:tc>
        <w:tc>
          <w:tcPr>
            <w:tcW w:w="1363" w:type="dxa"/>
            <w:vMerge w:val="restart"/>
            <w:vAlign w:val="center"/>
          </w:tcPr>
          <w:p w14:paraId="3AD7D768">
            <w:pPr>
              <w:spacing w:line="264" w:lineRule="auto"/>
              <w:jc w:val="center"/>
            </w:pPr>
          </w:p>
        </w:tc>
        <w:tc>
          <w:tcPr>
            <w:tcW w:w="1144" w:type="dxa"/>
            <w:vMerge w:val="restart"/>
            <w:vAlign w:val="center"/>
          </w:tcPr>
          <w:p w14:paraId="056F7D96">
            <w:pPr>
              <w:spacing w:line="264" w:lineRule="auto"/>
              <w:jc w:val="center"/>
            </w:pPr>
          </w:p>
        </w:tc>
        <w:tc>
          <w:tcPr>
            <w:tcW w:w="1122" w:type="dxa"/>
            <w:vMerge w:val="restart"/>
            <w:vAlign w:val="center"/>
          </w:tcPr>
          <w:p w14:paraId="21319DF0">
            <w:pPr>
              <w:spacing w:line="264" w:lineRule="auto"/>
              <w:jc w:val="center"/>
            </w:pPr>
          </w:p>
        </w:tc>
      </w:tr>
      <w:tr w14:paraId="4A7C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continue"/>
            <w:vAlign w:val="center"/>
          </w:tcPr>
          <w:p w14:paraId="0CD5A56D">
            <w:pPr>
              <w:spacing w:line="264" w:lineRule="auto"/>
              <w:jc w:val="center"/>
              <w:rPr>
                <w:rFonts w:hint="eastAsia" w:ascii="宋体" w:hAnsi="宋体"/>
              </w:rPr>
            </w:pPr>
          </w:p>
        </w:tc>
        <w:tc>
          <w:tcPr>
            <w:tcW w:w="1362" w:type="dxa"/>
            <w:vAlign w:val="center"/>
          </w:tcPr>
          <w:p w14:paraId="7B38114C">
            <w:pPr>
              <w:spacing w:line="264" w:lineRule="auto"/>
              <w:jc w:val="center"/>
              <w:rPr>
                <w:rFonts w:hint="eastAsia" w:ascii="宋体" w:hAnsi="宋体"/>
              </w:rPr>
            </w:pPr>
          </w:p>
        </w:tc>
        <w:tc>
          <w:tcPr>
            <w:tcW w:w="1362" w:type="dxa"/>
            <w:vMerge w:val="continue"/>
            <w:vAlign w:val="center"/>
          </w:tcPr>
          <w:p w14:paraId="30FC947C">
            <w:pPr>
              <w:spacing w:line="264" w:lineRule="auto"/>
              <w:jc w:val="center"/>
              <w:rPr>
                <w:rFonts w:hint="eastAsia" w:ascii="宋体" w:hAnsi="宋体"/>
              </w:rPr>
            </w:pPr>
          </w:p>
        </w:tc>
        <w:tc>
          <w:tcPr>
            <w:tcW w:w="1362" w:type="dxa"/>
            <w:vAlign w:val="center"/>
          </w:tcPr>
          <w:p w14:paraId="64D926E5">
            <w:pPr>
              <w:spacing w:line="264" w:lineRule="auto"/>
              <w:jc w:val="center"/>
              <w:rPr>
                <w:rFonts w:hint="eastAsia" w:ascii="宋体" w:hAnsi="宋体"/>
              </w:rPr>
            </w:pPr>
          </w:p>
        </w:tc>
        <w:tc>
          <w:tcPr>
            <w:tcW w:w="1363" w:type="dxa"/>
            <w:vMerge w:val="continue"/>
            <w:vAlign w:val="center"/>
          </w:tcPr>
          <w:p w14:paraId="79B614D3">
            <w:pPr>
              <w:spacing w:line="264" w:lineRule="auto"/>
              <w:jc w:val="center"/>
              <w:rPr>
                <w:rFonts w:hint="eastAsia" w:ascii="宋体" w:hAnsi="宋体"/>
              </w:rPr>
            </w:pPr>
          </w:p>
        </w:tc>
        <w:tc>
          <w:tcPr>
            <w:tcW w:w="1144" w:type="dxa"/>
            <w:vMerge w:val="continue"/>
            <w:vAlign w:val="center"/>
          </w:tcPr>
          <w:p w14:paraId="5949E999">
            <w:pPr>
              <w:spacing w:line="264" w:lineRule="auto"/>
              <w:jc w:val="center"/>
              <w:rPr>
                <w:rFonts w:hint="eastAsia" w:ascii="宋体" w:hAnsi="宋体"/>
              </w:rPr>
            </w:pPr>
          </w:p>
        </w:tc>
        <w:tc>
          <w:tcPr>
            <w:tcW w:w="1122" w:type="dxa"/>
            <w:vMerge w:val="continue"/>
            <w:vAlign w:val="center"/>
          </w:tcPr>
          <w:p w14:paraId="039371AC">
            <w:pPr>
              <w:spacing w:line="264" w:lineRule="auto"/>
              <w:jc w:val="center"/>
              <w:rPr>
                <w:rFonts w:hint="eastAsia" w:ascii="宋体" w:hAnsi="宋体"/>
              </w:rPr>
            </w:pPr>
          </w:p>
        </w:tc>
      </w:tr>
      <w:tr w14:paraId="4938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continue"/>
            <w:vAlign w:val="center"/>
          </w:tcPr>
          <w:p w14:paraId="23755E05">
            <w:pPr>
              <w:spacing w:line="264" w:lineRule="auto"/>
              <w:jc w:val="center"/>
              <w:rPr>
                <w:rFonts w:hint="eastAsia" w:ascii="宋体" w:hAnsi="宋体"/>
              </w:rPr>
            </w:pPr>
          </w:p>
        </w:tc>
        <w:tc>
          <w:tcPr>
            <w:tcW w:w="1362" w:type="dxa"/>
            <w:vAlign w:val="center"/>
          </w:tcPr>
          <w:p w14:paraId="68A4A7E7">
            <w:pPr>
              <w:spacing w:line="264" w:lineRule="auto"/>
              <w:jc w:val="center"/>
              <w:rPr>
                <w:rFonts w:hint="eastAsia" w:ascii="宋体" w:hAnsi="宋体"/>
              </w:rPr>
            </w:pPr>
          </w:p>
        </w:tc>
        <w:tc>
          <w:tcPr>
            <w:tcW w:w="1362" w:type="dxa"/>
            <w:vMerge w:val="continue"/>
            <w:vAlign w:val="center"/>
          </w:tcPr>
          <w:p w14:paraId="0FCA2AB4">
            <w:pPr>
              <w:spacing w:line="264" w:lineRule="auto"/>
              <w:jc w:val="center"/>
              <w:rPr>
                <w:rFonts w:hint="eastAsia" w:ascii="宋体" w:hAnsi="宋体"/>
              </w:rPr>
            </w:pPr>
          </w:p>
        </w:tc>
        <w:tc>
          <w:tcPr>
            <w:tcW w:w="1362" w:type="dxa"/>
            <w:vAlign w:val="center"/>
          </w:tcPr>
          <w:p w14:paraId="59D4F070">
            <w:pPr>
              <w:spacing w:line="264" w:lineRule="auto"/>
              <w:jc w:val="center"/>
              <w:rPr>
                <w:rFonts w:hint="eastAsia" w:ascii="宋体" w:hAnsi="宋体"/>
              </w:rPr>
            </w:pPr>
          </w:p>
        </w:tc>
        <w:tc>
          <w:tcPr>
            <w:tcW w:w="1363" w:type="dxa"/>
            <w:vMerge w:val="continue"/>
            <w:vAlign w:val="center"/>
          </w:tcPr>
          <w:p w14:paraId="5918E99A">
            <w:pPr>
              <w:spacing w:line="264" w:lineRule="auto"/>
              <w:jc w:val="center"/>
              <w:rPr>
                <w:rFonts w:hint="eastAsia" w:ascii="宋体" w:hAnsi="宋体"/>
              </w:rPr>
            </w:pPr>
          </w:p>
        </w:tc>
        <w:tc>
          <w:tcPr>
            <w:tcW w:w="1144" w:type="dxa"/>
            <w:vMerge w:val="continue"/>
            <w:vAlign w:val="center"/>
          </w:tcPr>
          <w:p w14:paraId="2BC6AEE2">
            <w:pPr>
              <w:spacing w:line="264" w:lineRule="auto"/>
              <w:jc w:val="center"/>
              <w:rPr>
                <w:rFonts w:hint="eastAsia" w:ascii="宋体" w:hAnsi="宋体"/>
              </w:rPr>
            </w:pPr>
          </w:p>
        </w:tc>
        <w:tc>
          <w:tcPr>
            <w:tcW w:w="1122" w:type="dxa"/>
            <w:vMerge w:val="continue"/>
            <w:vAlign w:val="center"/>
          </w:tcPr>
          <w:p w14:paraId="002FEA33">
            <w:pPr>
              <w:spacing w:line="264" w:lineRule="auto"/>
              <w:jc w:val="center"/>
              <w:rPr>
                <w:rFonts w:hint="eastAsia" w:ascii="宋体" w:hAnsi="宋体"/>
              </w:rPr>
            </w:pPr>
          </w:p>
        </w:tc>
      </w:tr>
      <w:tr w14:paraId="6089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restart"/>
            <w:vAlign w:val="center"/>
          </w:tcPr>
          <w:p w14:paraId="102F9D91">
            <w:pPr>
              <w:spacing w:line="264" w:lineRule="auto"/>
              <w:jc w:val="center"/>
              <w:rPr>
                <w:rFonts w:hint="eastAsia" w:ascii="宋体" w:hAnsi="宋体"/>
              </w:rPr>
            </w:pPr>
            <w:r>
              <w:rPr>
                <w:rFonts w:hint="eastAsia" w:ascii="宋体" w:hAnsi="宋体"/>
              </w:rPr>
              <w:t>3</w:t>
            </w:r>
          </w:p>
        </w:tc>
        <w:tc>
          <w:tcPr>
            <w:tcW w:w="1362" w:type="dxa"/>
            <w:vAlign w:val="center"/>
          </w:tcPr>
          <w:p w14:paraId="0DBC8D8F">
            <w:pPr>
              <w:spacing w:line="264" w:lineRule="auto"/>
              <w:jc w:val="center"/>
              <w:rPr>
                <w:rFonts w:hint="eastAsia" w:ascii="宋体" w:hAnsi="宋体"/>
              </w:rPr>
            </w:pPr>
          </w:p>
        </w:tc>
        <w:tc>
          <w:tcPr>
            <w:tcW w:w="1362" w:type="dxa"/>
            <w:vMerge w:val="restart"/>
            <w:vAlign w:val="center"/>
          </w:tcPr>
          <w:p w14:paraId="158F5E2D">
            <w:pPr>
              <w:spacing w:line="264" w:lineRule="auto"/>
              <w:jc w:val="center"/>
              <w:rPr>
                <w:rFonts w:hint="eastAsia" w:ascii="宋体" w:hAnsi="宋体"/>
              </w:rPr>
            </w:pPr>
          </w:p>
        </w:tc>
        <w:tc>
          <w:tcPr>
            <w:tcW w:w="1362" w:type="dxa"/>
            <w:vAlign w:val="center"/>
          </w:tcPr>
          <w:p w14:paraId="381C92CE">
            <w:pPr>
              <w:spacing w:line="264" w:lineRule="auto"/>
              <w:jc w:val="center"/>
              <w:rPr>
                <w:rFonts w:hint="eastAsia" w:ascii="宋体" w:hAnsi="宋体"/>
              </w:rPr>
            </w:pPr>
          </w:p>
        </w:tc>
        <w:tc>
          <w:tcPr>
            <w:tcW w:w="1363" w:type="dxa"/>
            <w:vMerge w:val="restart"/>
            <w:vAlign w:val="center"/>
          </w:tcPr>
          <w:p w14:paraId="3B38B3FD">
            <w:pPr>
              <w:spacing w:line="264" w:lineRule="auto"/>
              <w:jc w:val="center"/>
              <w:rPr>
                <w:rFonts w:hint="eastAsia" w:ascii="宋体" w:hAnsi="宋体"/>
              </w:rPr>
            </w:pPr>
          </w:p>
        </w:tc>
        <w:tc>
          <w:tcPr>
            <w:tcW w:w="1144" w:type="dxa"/>
            <w:vMerge w:val="restart"/>
            <w:vAlign w:val="center"/>
          </w:tcPr>
          <w:p w14:paraId="095DD1DF">
            <w:pPr>
              <w:spacing w:line="264" w:lineRule="auto"/>
              <w:jc w:val="center"/>
              <w:rPr>
                <w:rFonts w:hint="eastAsia" w:ascii="宋体" w:hAnsi="宋体"/>
              </w:rPr>
            </w:pPr>
          </w:p>
        </w:tc>
        <w:tc>
          <w:tcPr>
            <w:tcW w:w="1122" w:type="dxa"/>
            <w:vMerge w:val="restart"/>
            <w:vAlign w:val="center"/>
          </w:tcPr>
          <w:p w14:paraId="6F490D22">
            <w:pPr>
              <w:spacing w:line="264" w:lineRule="auto"/>
              <w:jc w:val="center"/>
              <w:rPr>
                <w:rFonts w:hint="eastAsia" w:ascii="宋体" w:hAnsi="宋体"/>
              </w:rPr>
            </w:pPr>
          </w:p>
        </w:tc>
      </w:tr>
      <w:tr w14:paraId="699D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continue"/>
            <w:vAlign w:val="center"/>
          </w:tcPr>
          <w:p w14:paraId="20F9F49D">
            <w:pPr>
              <w:spacing w:line="264" w:lineRule="auto"/>
              <w:jc w:val="center"/>
              <w:rPr>
                <w:rFonts w:hint="eastAsia" w:ascii="宋体" w:hAnsi="宋体"/>
              </w:rPr>
            </w:pPr>
          </w:p>
        </w:tc>
        <w:tc>
          <w:tcPr>
            <w:tcW w:w="1362" w:type="dxa"/>
            <w:vAlign w:val="center"/>
          </w:tcPr>
          <w:p w14:paraId="302A0181">
            <w:pPr>
              <w:spacing w:line="264" w:lineRule="auto"/>
              <w:jc w:val="center"/>
              <w:rPr>
                <w:rFonts w:hint="eastAsia" w:ascii="宋体" w:hAnsi="宋体"/>
              </w:rPr>
            </w:pPr>
          </w:p>
        </w:tc>
        <w:tc>
          <w:tcPr>
            <w:tcW w:w="1362" w:type="dxa"/>
            <w:vMerge w:val="continue"/>
            <w:vAlign w:val="center"/>
          </w:tcPr>
          <w:p w14:paraId="56887CDE">
            <w:pPr>
              <w:spacing w:line="264" w:lineRule="auto"/>
              <w:jc w:val="center"/>
              <w:rPr>
                <w:rFonts w:hint="eastAsia" w:ascii="宋体" w:hAnsi="宋体"/>
              </w:rPr>
            </w:pPr>
          </w:p>
        </w:tc>
        <w:tc>
          <w:tcPr>
            <w:tcW w:w="1362" w:type="dxa"/>
            <w:vAlign w:val="center"/>
          </w:tcPr>
          <w:p w14:paraId="4D2B23AB">
            <w:pPr>
              <w:spacing w:line="264" w:lineRule="auto"/>
              <w:jc w:val="center"/>
              <w:rPr>
                <w:rFonts w:hint="eastAsia" w:ascii="宋体" w:hAnsi="宋体"/>
              </w:rPr>
            </w:pPr>
          </w:p>
        </w:tc>
        <w:tc>
          <w:tcPr>
            <w:tcW w:w="1363" w:type="dxa"/>
            <w:vMerge w:val="continue"/>
            <w:vAlign w:val="center"/>
          </w:tcPr>
          <w:p w14:paraId="0B043ADB">
            <w:pPr>
              <w:spacing w:line="264" w:lineRule="auto"/>
              <w:jc w:val="center"/>
              <w:rPr>
                <w:rFonts w:hint="eastAsia" w:ascii="宋体" w:hAnsi="宋体"/>
              </w:rPr>
            </w:pPr>
          </w:p>
        </w:tc>
        <w:tc>
          <w:tcPr>
            <w:tcW w:w="1144" w:type="dxa"/>
            <w:vMerge w:val="continue"/>
            <w:vAlign w:val="center"/>
          </w:tcPr>
          <w:p w14:paraId="3C528DF8">
            <w:pPr>
              <w:spacing w:line="264" w:lineRule="auto"/>
              <w:jc w:val="center"/>
              <w:rPr>
                <w:rFonts w:hint="eastAsia" w:ascii="宋体" w:hAnsi="宋体"/>
              </w:rPr>
            </w:pPr>
          </w:p>
        </w:tc>
        <w:tc>
          <w:tcPr>
            <w:tcW w:w="1122" w:type="dxa"/>
            <w:vMerge w:val="continue"/>
          </w:tcPr>
          <w:p w14:paraId="461D3597">
            <w:pPr>
              <w:spacing w:line="264" w:lineRule="auto"/>
              <w:jc w:val="center"/>
              <w:rPr>
                <w:rFonts w:hint="eastAsia" w:ascii="宋体" w:hAnsi="宋体"/>
              </w:rPr>
            </w:pPr>
          </w:p>
        </w:tc>
      </w:tr>
      <w:tr w14:paraId="14F3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Merge w:val="continue"/>
            <w:vAlign w:val="center"/>
          </w:tcPr>
          <w:p w14:paraId="63224E3D">
            <w:pPr>
              <w:spacing w:line="264" w:lineRule="auto"/>
              <w:jc w:val="center"/>
              <w:rPr>
                <w:rFonts w:hint="eastAsia" w:ascii="宋体" w:hAnsi="宋体"/>
              </w:rPr>
            </w:pPr>
          </w:p>
        </w:tc>
        <w:tc>
          <w:tcPr>
            <w:tcW w:w="1362" w:type="dxa"/>
            <w:vAlign w:val="center"/>
          </w:tcPr>
          <w:p w14:paraId="36207066">
            <w:pPr>
              <w:spacing w:line="264" w:lineRule="auto"/>
              <w:jc w:val="center"/>
              <w:rPr>
                <w:rFonts w:hint="eastAsia" w:ascii="宋体" w:hAnsi="宋体"/>
              </w:rPr>
            </w:pPr>
          </w:p>
        </w:tc>
        <w:tc>
          <w:tcPr>
            <w:tcW w:w="1362" w:type="dxa"/>
            <w:vMerge w:val="continue"/>
            <w:vAlign w:val="center"/>
          </w:tcPr>
          <w:p w14:paraId="1584C4A9">
            <w:pPr>
              <w:spacing w:line="264" w:lineRule="auto"/>
              <w:jc w:val="center"/>
              <w:rPr>
                <w:rFonts w:hint="eastAsia" w:ascii="宋体" w:hAnsi="宋体"/>
              </w:rPr>
            </w:pPr>
          </w:p>
        </w:tc>
        <w:tc>
          <w:tcPr>
            <w:tcW w:w="1362" w:type="dxa"/>
            <w:vAlign w:val="center"/>
          </w:tcPr>
          <w:p w14:paraId="21794570">
            <w:pPr>
              <w:spacing w:line="264" w:lineRule="auto"/>
              <w:jc w:val="center"/>
              <w:rPr>
                <w:rFonts w:hint="eastAsia" w:ascii="宋体" w:hAnsi="宋体"/>
              </w:rPr>
            </w:pPr>
          </w:p>
        </w:tc>
        <w:tc>
          <w:tcPr>
            <w:tcW w:w="1363" w:type="dxa"/>
            <w:vMerge w:val="continue"/>
            <w:vAlign w:val="center"/>
          </w:tcPr>
          <w:p w14:paraId="44699C73">
            <w:pPr>
              <w:spacing w:line="264" w:lineRule="auto"/>
              <w:jc w:val="center"/>
              <w:rPr>
                <w:rFonts w:hint="eastAsia" w:ascii="宋体" w:hAnsi="宋体"/>
              </w:rPr>
            </w:pPr>
          </w:p>
        </w:tc>
        <w:tc>
          <w:tcPr>
            <w:tcW w:w="1144" w:type="dxa"/>
            <w:vMerge w:val="continue"/>
            <w:vAlign w:val="center"/>
          </w:tcPr>
          <w:p w14:paraId="22A3BB8D">
            <w:pPr>
              <w:spacing w:line="264" w:lineRule="auto"/>
              <w:jc w:val="center"/>
              <w:rPr>
                <w:rFonts w:hint="eastAsia" w:ascii="宋体" w:hAnsi="宋体"/>
              </w:rPr>
            </w:pPr>
          </w:p>
        </w:tc>
        <w:tc>
          <w:tcPr>
            <w:tcW w:w="1122" w:type="dxa"/>
            <w:vMerge w:val="continue"/>
          </w:tcPr>
          <w:p w14:paraId="7E5EC68B">
            <w:pPr>
              <w:spacing w:line="264" w:lineRule="auto"/>
              <w:jc w:val="center"/>
              <w:rPr>
                <w:rFonts w:hint="eastAsia" w:ascii="宋体" w:hAnsi="宋体"/>
              </w:rPr>
            </w:pPr>
          </w:p>
        </w:tc>
      </w:tr>
      <w:bookmarkEnd w:id="50"/>
    </w:tbl>
    <w:p w14:paraId="64B81343">
      <w:pPr>
        <w:numPr>
          <w:ilvl w:val="1"/>
          <w:numId w:val="1"/>
        </w:numPr>
        <w:tabs>
          <w:tab w:val="left" w:pos="0"/>
          <w:tab w:val="clear" w:pos="780"/>
        </w:tabs>
        <w:adjustRightInd w:val="0"/>
        <w:snapToGrid w:val="0"/>
        <w:spacing w:before="312" w:beforeLines="100" w:line="360" w:lineRule="auto"/>
        <w:ind w:left="0" w:firstLine="0"/>
        <w:rPr>
          <w:rFonts w:hint="eastAsia" w:ascii="宋体" w:hAnsi="宋体"/>
        </w:rPr>
      </w:pPr>
      <w:r>
        <w:rPr>
          <w:rFonts w:hint="eastAsia" w:ascii="宋体" w:hAnsi="宋体"/>
        </w:rPr>
        <w:t>比光密度示值误差和重复性</w:t>
      </w:r>
    </w:p>
    <w:p w14:paraId="04C7CDCE">
      <w:pPr>
        <w:adjustRightInd w:val="0"/>
        <w:snapToGrid w:val="0"/>
        <w:spacing w:line="360" w:lineRule="auto"/>
        <w:rPr>
          <w:rFonts w:hint="eastAsia" w:ascii="宋体" w:hAnsi="宋体"/>
          <w:u w:val="single"/>
        </w:rPr>
      </w:pPr>
      <w:r>
        <w:rPr>
          <w:rFonts w:hint="eastAsia" w:ascii="宋体" w:hAnsi="宋体"/>
        </w:rPr>
        <w:t>标准物质编号：</w:t>
      </w:r>
      <w:r>
        <w:rPr>
          <w:rFonts w:hint="eastAsia" w:ascii="宋体" w:hAnsi="宋体"/>
          <w:u w:val="single"/>
        </w:rPr>
        <w:tab/>
      </w:r>
      <w:r>
        <w:rPr>
          <w:rFonts w:hint="eastAsia" w:ascii="宋体" w:hAnsi="宋体"/>
          <w:u w:val="single"/>
        </w:rPr>
        <w:tab/>
      </w:r>
      <w:r>
        <w:rPr>
          <w:rFonts w:hint="eastAsia" w:ascii="宋体" w:hAnsi="宋体"/>
          <w:u w:val="single"/>
        </w:rPr>
        <w:tab/>
      </w:r>
      <w:r>
        <w:rPr>
          <w:rFonts w:hint="eastAsia" w:ascii="宋体" w:hAnsi="宋体"/>
          <w:u w:val="single"/>
        </w:rPr>
        <w:tab/>
      </w:r>
      <w:r>
        <w:rPr>
          <w:rFonts w:ascii="宋体" w:hAnsi="宋体"/>
          <w:u w:val="single"/>
        </w:rPr>
        <w:t xml:space="preserve">  </w:t>
      </w:r>
      <w:r>
        <w:rPr>
          <w:rFonts w:hint="eastAsia" w:ascii="宋体" w:hAnsi="宋体"/>
          <w:u w:val="single"/>
        </w:rPr>
        <w:t xml:space="preserve">  </w:t>
      </w:r>
      <w:r>
        <w:rPr>
          <w:rFonts w:hint="eastAsia" w:ascii="宋体" w:hAnsi="宋体"/>
        </w:rPr>
        <w:t xml:space="preserve">  </w:t>
      </w:r>
      <w:r>
        <w:rPr>
          <w:rFonts w:ascii="宋体" w:hAnsi="宋体"/>
        </w:rPr>
        <w:t xml:space="preserve">  </w:t>
      </w:r>
      <w:r>
        <w:rPr>
          <w:rFonts w:hint="eastAsia" w:ascii="宋体" w:hAnsi="宋体"/>
        </w:rPr>
        <w:t>不确定度：</w:t>
      </w:r>
      <w:r>
        <w:rPr>
          <w:rFonts w:hint="eastAsia" w:ascii="宋体" w:hAnsi="宋体"/>
          <w:u w:val="single"/>
        </w:rPr>
        <w:tab/>
      </w:r>
      <w:r>
        <w:rPr>
          <w:rFonts w:hint="eastAsia" w:ascii="宋体" w:hAnsi="宋体"/>
          <w:u w:val="single"/>
        </w:rPr>
        <w:tab/>
      </w:r>
      <w:r>
        <w:rPr>
          <w:rFonts w:hint="eastAsia" w:ascii="宋体" w:hAnsi="宋体"/>
          <w:u w:val="single"/>
        </w:rPr>
        <w:tab/>
      </w:r>
      <w:r>
        <w:rPr>
          <w:rFonts w:hint="eastAsia" w:ascii="宋体" w:hAnsi="宋体"/>
          <w:u w:val="single"/>
        </w:rPr>
        <w:tab/>
      </w:r>
      <w:r>
        <w:rPr>
          <w:rFonts w:ascii="宋体" w:hAnsi="宋体"/>
          <w:u w:val="single"/>
        </w:rPr>
        <w:t xml:space="preserve">  </w:t>
      </w:r>
      <w:r>
        <w:rPr>
          <w:rFonts w:hint="eastAsia" w:ascii="宋体" w:hAnsi="宋体"/>
          <w:u w:val="single"/>
        </w:rPr>
        <w:t xml:space="preserve">  </w:t>
      </w:r>
    </w:p>
    <w:p w14:paraId="28A6842A">
      <w:pPr>
        <w:spacing w:line="360" w:lineRule="auto"/>
        <w:rPr>
          <w:rFonts w:hint="eastAsia" w:ascii="宋体" w:hAnsi="宋体"/>
          <w:u w:val="single"/>
        </w:rPr>
      </w:pPr>
      <w:r>
        <w:rPr>
          <w:rFonts w:hint="eastAsia"/>
        </w:rPr>
        <w:t>检定证书有效期：</w:t>
      </w:r>
      <w:r>
        <w:rPr>
          <w:u w:val="single"/>
        </w:rPr>
        <w:tab/>
      </w:r>
      <w:r>
        <w:rPr>
          <w:u w:val="single"/>
        </w:rPr>
        <w:tab/>
      </w:r>
      <w:r>
        <w:rPr>
          <w:u w:val="single"/>
        </w:rPr>
        <w:tab/>
      </w:r>
      <w:r>
        <w:rPr>
          <w:u w:val="single"/>
        </w:rPr>
        <w:t xml:space="preserve">    </w:t>
      </w:r>
      <w:r>
        <w:rPr>
          <w:u w:val="single"/>
        </w:rPr>
        <w:tab/>
      </w:r>
      <w: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bl>
      <w:tblPr>
        <w:tblStyle w:val="16"/>
        <w:tblW w:w="6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57" w:type="dxa"/>
        </w:tblCellMar>
      </w:tblPr>
      <w:tblGrid>
        <w:gridCol w:w="943"/>
        <w:gridCol w:w="1417"/>
        <w:gridCol w:w="1560"/>
        <w:gridCol w:w="1258"/>
        <w:gridCol w:w="1623"/>
      </w:tblGrid>
      <w:tr w14:paraId="3917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567" w:hRule="atLeast"/>
          <w:jc w:val="center"/>
        </w:trPr>
        <w:tc>
          <w:tcPr>
            <w:tcW w:w="943" w:type="dxa"/>
            <w:vAlign w:val="center"/>
          </w:tcPr>
          <w:p w14:paraId="7BCB32CF">
            <w:pPr>
              <w:tabs>
                <w:tab w:val="left" w:pos="267"/>
              </w:tabs>
              <w:adjustRightInd w:val="0"/>
              <w:snapToGrid w:val="0"/>
              <w:spacing w:line="276" w:lineRule="auto"/>
              <w:jc w:val="center"/>
            </w:pPr>
            <w:r>
              <w:rPr>
                <w:rFonts w:hint="eastAsia"/>
              </w:rPr>
              <w:t>序号</w:t>
            </w:r>
          </w:p>
        </w:tc>
        <w:tc>
          <w:tcPr>
            <w:tcW w:w="1417" w:type="dxa"/>
            <w:vAlign w:val="center"/>
          </w:tcPr>
          <w:p w14:paraId="3D692357">
            <w:pPr>
              <w:tabs>
                <w:tab w:val="left" w:pos="267"/>
              </w:tabs>
              <w:adjustRightInd w:val="0"/>
              <w:snapToGrid w:val="0"/>
              <w:spacing w:line="276" w:lineRule="auto"/>
              <w:jc w:val="center"/>
            </w:pPr>
            <w:r>
              <w:rPr>
                <w:rFonts w:hint="eastAsia"/>
              </w:rPr>
              <w:t>标准值</w:t>
            </w:r>
          </w:p>
        </w:tc>
        <w:tc>
          <w:tcPr>
            <w:tcW w:w="1560" w:type="dxa"/>
            <w:vAlign w:val="center"/>
          </w:tcPr>
          <w:p w14:paraId="057D8911">
            <w:pPr>
              <w:tabs>
                <w:tab w:val="left" w:pos="267"/>
              </w:tabs>
              <w:adjustRightInd w:val="0"/>
              <w:snapToGrid w:val="0"/>
              <w:spacing w:line="276" w:lineRule="auto"/>
              <w:jc w:val="center"/>
            </w:pPr>
            <w:r>
              <w:rPr>
                <w:rFonts w:hint="eastAsia"/>
              </w:rPr>
              <w:t>示值误差</w:t>
            </w:r>
          </w:p>
        </w:tc>
        <w:tc>
          <w:tcPr>
            <w:tcW w:w="1258" w:type="dxa"/>
            <w:vAlign w:val="center"/>
          </w:tcPr>
          <w:p w14:paraId="3BFFF717">
            <w:pPr>
              <w:tabs>
                <w:tab w:val="left" w:pos="267"/>
              </w:tabs>
              <w:adjustRightInd w:val="0"/>
              <w:snapToGrid w:val="0"/>
              <w:spacing w:line="276" w:lineRule="auto"/>
              <w:jc w:val="center"/>
            </w:pPr>
            <w:r>
              <w:rPr>
                <w:rFonts w:hint="eastAsia"/>
              </w:rPr>
              <w:t>重复性</w:t>
            </w:r>
          </w:p>
        </w:tc>
        <w:tc>
          <w:tcPr>
            <w:tcW w:w="1623" w:type="dxa"/>
            <w:vAlign w:val="center"/>
          </w:tcPr>
          <w:p w14:paraId="65B703BF">
            <w:pPr>
              <w:tabs>
                <w:tab w:val="left" w:pos="267"/>
              </w:tabs>
              <w:adjustRightInd w:val="0"/>
              <w:snapToGrid w:val="0"/>
              <w:spacing w:line="276" w:lineRule="auto"/>
              <w:jc w:val="center"/>
            </w:pPr>
            <w:r>
              <w:rPr>
                <w:rFonts w:hint="eastAsia"/>
              </w:rPr>
              <w:t>扩展不确定度(</w:t>
            </w:r>
            <w:r>
              <w:rPr>
                <w:rFonts w:hint="eastAsia"/>
                <w:i/>
              </w:rPr>
              <w:t>k</w:t>
            </w:r>
            <w:r>
              <w:rPr>
                <w:rFonts w:hint="eastAsia"/>
              </w:rPr>
              <w:t>=2)</w:t>
            </w:r>
          </w:p>
        </w:tc>
      </w:tr>
      <w:tr w14:paraId="39A1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78" w:hRule="atLeast"/>
          <w:jc w:val="center"/>
        </w:trPr>
        <w:tc>
          <w:tcPr>
            <w:tcW w:w="943" w:type="dxa"/>
            <w:vAlign w:val="center"/>
          </w:tcPr>
          <w:p w14:paraId="5A801629">
            <w:pPr>
              <w:tabs>
                <w:tab w:val="left" w:pos="267"/>
              </w:tabs>
              <w:adjustRightInd w:val="0"/>
              <w:snapToGrid w:val="0"/>
              <w:spacing w:line="276" w:lineRule="auto"/>
              <w:jc w:val="center"/>
            </w:pPr>
            <w:r>
              <w:rPr>
                <w:rFonts w:hint="eastAsia"/>
              </w:rPr>
              <w:t>1</w:t>
            </w:r>
          </w:p>
        </w:tc>
        <w:tc>
          <w:tcPr>
            <w:tcW w:w="1417" w:type="dxa"/>
            <w:vAlign w:val="center"/>
          </w:tcPr>
          <w:p w14:paraId="7EDF063F">
            <w:pPr>
              <w:tabs>
                <w:tab w:val="left" w:pos="267"/>
              </w:tabs>
              <w:adjustRightInd w:val="0"/>
              <w:snapToGrid w:val="0"/>
              <w:spacing w:line="276" w:lineRule="auto"/>
              <w:jc w:val="center"/>
            </w:pPr>
          </w:p>
        </w:tc>
        <w:tc>
          <w:tcPr>
            <w:tcW w:w="1560" w:type="dxa"/>
            <w:vAlign w:val="center"/>
          </w:tcPr>
          <w:p w14:paraId="4CFF998B">
            <w:pPr>
              <w:tabs>
                <w:tab w:val="left" w:pos="267"/>
              </w:tabs>
              <w:adjustRightInd w:val="0"/>
              <w:snapToGrid w:val="0"/>
              <w:spacing w:line="276" w:lineRule="auto"/>
              <w:jc w:val="center"/>
            </w:pPr>
          </w:p>
        </w:tc>
        <w:tc>
          <w:tcPr>
            <w:tcW w:w="1258" w:type="dxa"/>
            <w:vAlign w:val="center"/>
          </w:tcPr>
          <w:p w14:paraId="04B250AD">
            <w:pPr>
              <w:tabs>
                <w:tab w:val="left" w:pos="267"/>
              </w:tabs>
              <w:adjustRightInd w:val="0"/>
              <w:snapToGrid w:val="0"/>
              <w:spacing w:line="276" w:lineRule="auto"/>
              <w:jc w:val="center"/>
            </w:pPr>
          </w:p>
        </w:tc>
        <w:tc>
          <w:tcPr>
            <w:tcW w:w="1623" w:type="dxa"/>
            <w:vAlign w:val="center"/>
          </w:tcPr>
          <w:p w14:paraId="47CDB4E5">
            <w:pPr>
              <w:tabs>
                <w:tab w:val="left" w:pos="267"/>
              </w:tabs>
              <w:adjustRightInd w:val="0"/>
              <w:snapToGrid w:val="0"/>
              <w:spacing w:line="276" w:lineRule="auto"/>
              <w:jc w:val="center"/>
            </w:pPr>
          </w:p>
        </w:tc>
      </w:tr>
      <w:tr w14:paraId="0E75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58" w:hRule="atLeast"/>
          <w:jc w:val="center"/>
        </w:trPr>
        <w:tc>
          <w:tcPr>
            <w:tcW w:w="943" w:type="dxa"/>
            <w:vAlign w:val="center"/>
          </w:tcPr>
          <w:p w14:paraId="05358060">
            <w:pPr>
              <w:tabs>
                <w:tab w:val="left" w:pos="267"/>
              </w:tabs>
              <w:adjustRightInd w:val="0"/>
              <w:snapToGrid w:val="0"/>
              <w:spacing w:line="276" w:lineRule="auto"/>
              <w:jc w:val="center"/>
            </w:pPr>
            <w:r>
              <w:rPr>
                <w:rFonts w:hint="eastAsia"/>
              </w:rPr>
              <w:t>2</w:t>
            </w:r>
          </w:p>
        </w:tc>
        <w:tc>
          <w:tcPr>
            <w:tcW w:w="1417" w:type="dxa"/>
            <w:vAlign w:val="center"/>
          </w:tcPr>
          <w:p w14:paraId="708AA196">
            <w:pPr>
              <w:tabs>
                <w:tab w:val="left" w:pos="267"/>
              </w:tabs>
              <w:adjustRightInd w:val="0"/>
              <w:snapToGrid w:val="0"/>
              <w:spacing w:line="276" w:lineRule="auto"/>
              <w:jc w:val="center"/>
            </w:pPr>
          </w:p>
        </w:tc>
        <w:tc>
          <w:tcPr>
            <w:tcW w:w="1560" w:type="dxa"/>
            <w:vAlign w:val="center"/>
          </w:tcPr>
          <w:p w14:paraId="1165F8F9">
            <w:pPr>
              <w:tabs>
                <w:tab w:val="left" w:pos="267"/>
              </w:tabs>
              <w:adjustRightInd w:val="0"/>
              <w:snapToGrid w:val="0"/>
              <w:spacing w:line="276" w:lineRule="auto"/>
              <w:jc w:val="center"/>
            </w:pPr>
          </w:p>
        </w:tc>
        <w:tc>
          <w:tcPr>
            <w:tcW w:w="1258" w:type="dxa"/>
            <w:vAlign w:val="center"/>
          </w:tcPr>
          <w:p w14:paraId="100D1724">
            <w:pPr>
              <w:tabs>
                <w:tab w:val="left" w:pos="267"/>
              </w:tabs>
              <w:adjustRightInd w:val="0"/>
              <w:snapToGrid w:val="0"/>
              <w:spacing w:line="276" w:lineRule="auto"/>
              <w:jc w:val="center"/>
            </w:pPr>
          </w:p>
        </w:tc>
        <w:tc>
          <w:tcPr>
            <w:tcW w:w="1623" w:type="dxa"/>
            <w:vAlign w:val="center"/>
          </w:tcPr>
          <w:p w14:paraId="613D79C5">
            <w:pPr>
              <w:tabs>
                <w:tab w:val="left" w:pos="267"/>
              </w:tabs>
              <w:adjustRightInd w:val="0"/>
              <w:snapToGrid w:val="0"/>
              <w:spacing w:line="276" w:lineRule="auto"/>
              <w:jc w:val="center"/>
            </w:pPr>
          </w:p>
        </w:tc>
      </w:tr>
      <w:tr w14:paraId="25BB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379" w:hRule="atLeast"/>
          <w:jc w:val="center"/>
        </w:trPr>
        <w:tc>
          <w:tcPr>
            <w:tcW w:w="943" w:type="dxa"/>
            <w:vAlign w:val="center"/>
          </w:tcPr>
          <w:p w14:paraId="4B2A724A">
            <w:pPr>
              <w:tabs>
                <w:tab w:val="left" w:pos="267"/>
              </w:tabs>
              <w:adjustRightInd w:val="0"/>
              <w:snapToGrid w:val="0"/>
              <w:spacing w:line="276" w:lineRule="auto"/>
              <w:jc w:val="center"/>
            </w:pPr>
            <w:r>
              <w:rPr>
                <w:rFonts w:hint="eastAsia"/>
              </w:rPr>
              <w:t>3</w:t>
            </w:r>
          </w:p>
        </w:tc>
        <w:tc>
          <w:tcPr>
            <w:tcW w:w="1417" w:type="dxa"/>
            <w:vAlign w:val="center"/>
          </w:tcPr>
          <w:p w14:paraId="366F6E34">
            <w:pPr>
              <w:tabs>
                <w:tab w:val="left" w:pos="267"/>
              </w:tabs>
              <w:adjustRightInd w:val="0"/>
              <w:snapToGrid w:val="0"/>
              <w:spacing w:line="276" w:lineRule="auto"/>
              <w:jc w:val="center"/>
            </w:pPr>
          </w:p>
        </w:tc>
        <w:tc>
          <w:tcPr>
            <w:tcW w:w="1560" w:type="dxa"/>
            <w:vAlign w:val="center"/>
          </w:tcPr>
          <w:p w14:paraId="6BE39B40">
            <w:pPr>
              <w:tabs>
                <w:tab w:val="left" w:pos="267"/>
              </w:tabs>
              <w:adjustRightInd w:val="0"/>
              <w:snapToGrid w:val="0"/>
              <w:spacing w:line="276" w:lineRule="auto"/>
              <w:jc w:val="center"/>
            </w:pPr>
          </w:p>
        </w:tc>
        <w:tc>
          <w:tcPr>
            <w:tcW w:w="1258" w:type="dxa"/>
            <w:vAlign w:val="center"/>
          </w:tcPr>
          <w:p w14:paraId="15C7E8B4">
            <w:pPr>
              <w:tabs>
                <w:tab w:val="left" w:pos="267"/>
              </w:tabs>
              <w:adjustRightInd w:val="0"/>
              <w:snapToGrid w:val="0"/>
              <w:spacing w:line="276" w:lineRule="auto"/>
              <w:jc w:val="center"/>
            </w:pPr>
          </w:p>
        </w:tc>
        <w:tc>
          <w:tcPr>
            <w:tcW w:w="1623" w:type="dxa"/>
            <w:vAlign w:val="center"/>
          </w:tcPr>
          <w:p w14:paraId="3136FE02">
            <w:pPr>
              <w:tabs>
                <w:tab w:val="left" w:pos="267"/>
              </w:tabs>
              <w:adjustRightInd w:val="0"/>
              <w:snapToGrid w:val="0"/>
              <w:spacing w:line="276" w:lineRule="auto"/>
              <w:jc w:val="center"/>
            </w:pPr>
          </w:p>
        </w:tc>
      </w:tr>
    </w:tbl>
    <w:p w14:paraId="613966C2">
      <w:pPr>
        <w:spacing w:line="360" w:lineRule="auto"/>
        <w:rPr>
          <w:rFonts w:hint="eastAsia" w:ascii="宋体" w:hAnsi="宋体"/>
          <w:u w:val="single"/>
        </w:rPr>
      </w:pPr>
    </w:p>
    <w:p w14:paraId="54BE9047">
      <w:pPr>
        <w:spacing w:line="264" w:lineRule="auto"/>
        <w:rPr>
          <w:rFonts w:hint="eastAsia" w:ascii="宋体" w:hAnsi="宋体"/>
        </w:rPr>
      </w:pPr>
    </w:p>
    <w:p w14:paraId="2DB1DC18">
      <w:pPr>
        <w:spacing w:line="264" w:lineRule="auto"/>
        <w:rPr>
          <w:rFonts w:hint="eastAsia" w:ascii="宋体" w:hAnsi="宋体"/>
        </w:rPr>
      </w:pPr>
    </w:p>
    <w:p w14:paraId="195D1E8C">
      <w:pPr>
        <w:spacing w:line="264" w:lineRule="auto"/>
        <w:jc w:val="left"/>
        <w:rPr>
          <w:rStyle w:val="21"/>
          <w:rFonts w:hint="eastAsia" w:ascii="黑体" w:hAnsi="黑体" w:eastAsia="黑体"/>
          <w:sz w:val="28"/>
          <w:szCs w:val="28"/>
        </w:rPr>
      </w:pPr>
      <w:r>
        <w:rPr>
          <w:rFonts w:ascii="宋体" w:hAnsi="宋体"/>
        </w:rPr>
        <w:br w:type="page"/>
      </w:r>
      <w:bookmarkStart w:id="51" w:name="_Toc150424202"/>
      <w:r>
        <w:rPr>
          <w:rStyle w:val="21"/>
          <w:rFonts w:hint="eastAsia" w:ascii="黑体" w:hAnsi="黑体" w:eastAsia="黑体"/>
          <w:sz w:val="28"/>
          <w:szCs w:val="28"/>
        </w:rPr>
        <w:t>附录</w:t>
      </w:r>
      <w:bookmarkEnd w:id="51"/>
      <w:r>
        <w:rPr>
          <w:rStyle w:val="21"/>
          <w:rFonts w:hint="eastAsia" w:ascii="黑体" w:hAnsi="黑体" w:eastAsia="黑体"/>
          <w:sz w:val="28"/>
          <w:szCs w:val="28"/>
        </w:rPr>
        <w:t xml:space="preserve">C </w:t>
      </w:r>
    </w:p>
    <w:p w14:paraId="09F19847">
      <w:pPr>
        <w:spacing w:line="264" w:lineRule="auto"/>
        <w:jc w:val="center"/>
        <w:rPr>
          <w:b/>
          <w:spacing w:val="20"/>
          <w:sz w:val="28"/>
          <w:szCs w:val="28"/>
        </w:rPr>
      </w:pPr>
      <w:r>
        <w:rPr>
          <w:rFonts w:hint="eastAsia" w:eastAsia="黑体"/>
          <w:sz w:val="28"/>
        </w:rPr>
        <w:t>固体材料烟密度仪校准证书（内页）参考格式</w:t>
      </w:r>
    </w:p>
    <w:tbl>
      <w:tblPr>
        <w:tblStyle w:val="15"/>
        <w:tblW w:w="886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8"/>
      </w:tblGrid>
      <w:tr w14:paraId="0129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3" w:hRule="atLeast"/>
        </w:trPr>
        <w:tc>
          <w:tcPr>
            <w:tcW w:w="8868" w:type="dxa"/>
            <w:shd w:val="clear" w:color="auto" w:fill="auto"/>
          </w:tcPr>
          <w:p w14:paraId="146B8994">
            <w:pPr>
              <w:jc w:val="center"/>
              <w:rPr>
                <w:rFonts w:hint="eastAsia" w:ascii="宋体" w:hAnsi="宋体"/>
              </w:rPr>
            </w:pPr>
            <w:r>
              <w:rPr>
                <w:rFonts w:hint="eastAsia" w:ascii="宋体" w:hAnsi="宋体"/>
              </w:rPr>
              <w:t>证书编号：××××——××××</w:t>
            </w:r>
          </w:p>
          <w:p w14:paraId="7C89A590">
            <w:pPr>
              <w:spacing w:before="156" w:beforeLines="50" w:line="270" w:lineRule="exact"/>
              <w:jc w:val="center"/>
              <w:rPr>
                <w:rFonts w:ascii="黑体" w:eastAsia="黑体"/>
                <w:sz w:val="36"/>
                <w:szCs w:val="36"/>
              </w:rPr>
            </w:pPr>
            <w:r>
              <w:rPr>
                <w:rFonts w:hint="eastAsia" w:ascii="黑体" w:eastAsia="黑体"/>
                <w:sz w:val="36"/>
                <w:szCs w:val="36"/>
              </w:rPr>
              <w:t>校 准 结 果</w:t>
            </w:r>
          </w:p>
          <w:tbl>
            <w:tblPr>
              <w:tblStyle w:val="15"/>
              <w:tblpPr w:leftFromText="180" w:rightFromText="180" w:vertAnchor="text" w:tblpY="199"/>
              <w:tblW w:w="8642"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642"/>
            </w:tblGrid>
            <w:tr w14:paraId="123E8B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0763" w:hRule="atLeast"/>
              </w:trPr>
              <w:tc>
                <w:tcPr>
                  <w:tcW w:w="8642" w:type="dxa"/>
                </w:tcPr>
                <w:p w14:paraId="7FD9D04D">
                  <w:pPr>
                    <w:pStyle w:val="43"/>
                    <w:numPr>
                      <w:ilvl w:val="0"/>
                      <w:numId w:val="2"/>
                    </w:numPr>
                    <w:tabs>
                      <w:tab w:val="left" w:pos="267"/>
                    </w:tabs>
                    <w:spacing w:line="360" w:lineRule="auto"/>
                    <w:ind w:firstLineChars="0"/>
                  </w:pPr>
                  <w:r>
                    <w:rPr>
                      <w:rFonts w:hint="eastAsia"/>
                    </w:rPr>
                    <w:t>透光率</w:t>
                  </w:r>
                </w:p>
                <w:tbl>
                  <w:tblPr>
                    <w:tblStyle w:val="16"/>
                    <w:tblW w:w="6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57" w:type="dxa"/>
                    </w:tblCellMar>
                  </w:tblPr>
                  <w:tblGrid>
                    <w:gridCol w:w="943"/>
                    <w:gridCol w:w="1417"/>
                    <w:gridCol w:w="1732"/>
                    <w:gridCol w:w="1418"/>
                    <w:gridCol w:w="1417"/>
                  </w:tblGrid>
                  <w:tr w14:paraId="7BB1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567" w:hRule="atLeast"/>
                      <w:jc w:val="center"/>
                    </w:trPr>
                    <w:tc>
                      <w:tcPr>
                        <w:tcW w:w="943" w:type="dxa"/>
                        <w:vAlign w:val="center"/>
                      </w:tcPr>
                      <w:p w14:paraId="12B60ECD">
                        <w:pPr>
                          <w:tabs>
                            <w:tab w:val="left" w:pos="267"/>
                          </w:tabs>
                          <w:adjustRightInd w:val="0"/>
                          <w:snapToGrid w:val="0"/>
                          <w:spacing w:line="276" w:lineRule="auto"/>
                          <w:jc w:val="center"/>
                        </w:pPr>
                        <w:r>
                          <w:rPr>
                            <w:rFonts w:hint="eastAsia"/>
                          </w:rPr>
                          <w:t>序号</w:t>
                        </w:r>
                      </w:p>
                    </w:tc>
                    <w:tc>
                      <w:tcPr>
                        <w:tcW w:w="1417" w:type="dxa"/>
                        <w:vAlign w:val="center"/>
                      </w:tcPr>
                      <w:p w14:paraId="6D627F06">
                        <w:pPr>
                          <w:tabs>
                            <w:tab w:val="left" w:pos="267"/>
                          </w:tabs>
                          <w:adjustRightInd w:val="0"/>
                          <w:snapToGrid w:val="0"/>
                          <w:spacing w:line="360" w:lineRule="auto"/>
                          <w:jc w:val="center"/>
                        </w:pPr>
                        <w:r>
                          <w:rPr>
                            <w:rFonts w:hint="eastAsia"/>
                          </w:rPr>
                          <w:t>标准值（%）</w:t>
                        </w:r>
                      </w:p>
                    </w:tc>
                    <w:tc>
                      <w:tcPr>
                        <w:tcW w:w="1732" w:type="dxa"/>
                        <w:vAlign w:val="center"/>
                      </w:tcPr>
                      <w:p w14:paraId="76AFFDFD">
                        <w:pPr>
                          <w:tabs>
                            <w:tab w:val="left" w:pos="267"/>
                          </w:tabs>
                          <w:adjustRightInd w:val="0"/>
                          <w:snapToGrid w:val="0"/>
                          <w:spacing w:line="276" w:lineRule="auto"/>
                          <w:jc w:val="center"/>
                        </w:pPr>
                        <w:r>
                          <w:rPr>
                            <w:rFonts w:hint="eastAsia"/>
                          </w:rPr>
                          <w:t>示值误差（%）</w:t>
                        </w:r>
                      </w:p>
                    </w:tc>
                    <w:tc>
                      <w:tcPr>
                        <w:tcW w:w="1418" w:type="dxa"/>
                        <w:vAlign w:val="center"/>
                      </w:tcPr>
                      <w:p w14:paraId="58AFDA01">
                        <w:pPr>
                          <w:tabs>
                            <w:tab w:val="left" w:pos="267"/>
                          </w:tabs>
                          <w:adjustRightInd w:val="0"/>
                          <w:snapToGrid w:val="0"/>
                          <w:spacing w:line="276" w:lineRule="auto"/>
                          <w:jc w:val="center"/>
                        </w:pPr>
                        <w:r>
                          <w:rPr>
                            <w:rFonts w:hint="eastAsia"/>
                          </w:rPr>
                          <w:t>重复性（%）</w:t>
                        </w:r>
                      </w:p>
                    </w:tc>
                    <w:tc>
                      <w:tcPr>
                        <w:tcW w:w="1417" w:type="dxa"/>
                        <w:vAlign w:val="center"/>
                      </w:tcPr>
                      <w:p w14:paraId="6D4B4562">
                        <w:pPr>
                          <w:tabs>
                            <w:tab w:val="left" w:pos="267"/>
                          </w:tabs>
                          <w:adjustRightInd w:val="0"/>
                          <w:snapToGrid w:val="0"/>
                          <w:spacing w:line="276" w:lineRule="auto"/>
                          <w:jc w:val="center"/>
                        </w:pPr>
                        <w:r>
                          <w:rPr>
                            <w:rFonts w:hint="eastAsia"/>
                          </w:rPr>
                          <w:t>扩展不确定度(</w:t>
                        </w:r>
                        <w:r>
                          <w:rPr>
                            <w:rFonts w:hint="eastAsia"/>
                            <w:i/>
                          </w:rPr>
                          <w:t>k</w:t>
                        </w:r>
                        <w:r>
                          <w:rPr>
                            <w:rFonts w:hint="eastAsia"/>
                          </w:rPr>
                          <w:t>=2)</w:t>
                        </w:r>
                      </w:p>
                    </w:tc>
                  </w:tr>
                  <w:tr w14:paraId="1AB3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78" w:hRule="atLeast"/>
                      <w:jc w:val="center"/>
                    </w:trPr>
                    <w:tc>
                      <w:tcPr>
                        <w:tcW w:w="943" w:type="dxa"/>
                        <w:vAlign w:val="center"/>
                      </w:tcPr>
                      <w:p w14:paraId="69253FDC">
                        <w:pPr>
                          <w:tabs>
                            <w:tab w:val="left" w:pos="267"/>
                          </w:tabs>
                          <w:adjustRightInd w:val="0"/>
                          <w:snapToGrid w:val="0"/>
                          <w:spacing w:line="276" w:lineRule="auto"/>
                          <w:jc w:val="center"/>
                        </w:pPr>
                        <w:r>
                          <w:rPr>
                            <w:rFonts w:hint="eastAsia"/>
                          </w:rPr>
                          <w:t>1</w:t>
                        </w:r>
                      </w:p>
                    </w:tc>
                    <w:tc>
                      <w:tcPr>
                        <w:tcW w:w="1417" w:type="dxa"/>
                        <w:vAlign w:val="center"/>
                      </w:tcPr>
                      <w:p w14:paraId="550FCA57">
                        <w:pPr>
                          <w:tabs>
                            <w:tab w:val="left" w:pos="267"/>
                          </w:tabs>
                          <w:adjustRightInd w:val="0"/>
                          <w:snapToGrid w:val="0"/>
                          <w:spacing w:line="276" w:lineRule="auto"/>
                          <w:jc w:val="center"/>
                        </w:pPr>
                      </w:p>
                    </w:tc>
                    <w:tc>
                      <w:tcPr>
                        <w:tcW w:w="1732" w:type="dxa"/>
                        <w:vAlign w:val="center"/>
                      </w:tcPr>
                      <w:p w14:paraId="59D24944">
                        <w:pPr>
                          <w:tabs>
                            <w:tab w:val="left" w:pos="267"/>
                          </w:tabs>
                          <w:adjustRightInd w:val="0"/>
                          <w:snapToGrid w:val="0"/>
                          <w:spacing w:line="276" w:lineRule="auto"/>
                          <w:jc w:val="center"/>
                        </w:pPr>
                      </w:p>
                    </w:tc>
                    <w:tc>
                      <w:tcPr>
                        <w:tcW w:w="1418" w:type="dxa"/>
                        <w:vAlign w:val="center"/>
                      </w:tcPr>
                      <w:p w14:paraId="7351917D">
                        <w:pPr>
                          <w:tabs>
                            <w:tab w:val="left" w:pos="267"/>
                          </w:tabs>
                          <w:adjustRightInd w:val="0"/>
                          <w:snapToGrid w:val="0"/>
                          <w:spacing w:line="276" w:lineRule="auto"/>
                          <w:jc w:val="center"/>
                        </w:pPr>
                      </w:p>
                    </w:tc>
                    <w:tc>
                      <w:tcPr>
                        <w:tcW w:w="1417" w:type="dxa"/>
                        <w:vAlign w:val="center"/>
                      </w:tcPr>
                      <w:p w14:paraId="1B4755CF">
                        <w:pPr>
                          <w:tabs>
                            <w:tab w:val="left" w:pos="267"/>
                          </w:tabs>
                          <w:adjustRightInd w:val="0"/>
                          <w:snapToGrid w:val="0"/>
                          <w:spacing w:line="276" w:lineRule="auto"/>
                          <w:jc w:val="center"/>
                        </w:pPr>
                      </w:p>
                    </w:tc>
                  </w:tr>
                  <w:tr w14:paraId="01F47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58" w:hRule="atLeast"/>
                      <w:jc w:val="center"/>
                    </w:trPr>
                    <w:tc>
                      <w:tcPr>
                        <w:tcW w:w="943" w:type="dxa"/>
                        <w:vAlign w:val="center"/>
                      </w:tcPr>
                      <w:p w14:paraId="783AC695">
                        <w:pPr>
                          <w:tabs>
                            <w:tab w:val="left" w:pos="267"/>
                          </w:tabs>
                          <w:adjustRightInd w:val="0"/>
                          <w:snapToGrid w:val="0"/>
                          <w:spacing w:line="276" w:lineRule="auto"/>
                          <w:jc w:val="center"/>
                        </w:pPr>
                        <w:r>
                          <w:rPr>
                            <w:rFonts w:hint="eastAsia"/>
                          </w:rPr>
                          <w:t>2</w:t>
                        </w:r>
                      </w:p>
                    </w:tc>
                    <w:tc>
                      <w:tcPr>
                        <w:tcW w:w="1417" w:type="dxa"/>
                        <w:vAlign w:val="center"/>
                      </w:tcPr>
                      <w:p w14:paraId="01E14BC7">
                        <w:pPr>
                          <w:tabs>
                            <w:tab w:val="left" w:pos="267"/>
                          </w:tabs>
                          <w:adjustRightInd w:val="0"/>
                          <w:snapToGrid w:val="0"/>
                          <w:spacing w:line="276" w:lineRule="auto"/>
                          <w:jc w:val="center"/>
                        </w:pPr>
                      </w:p>
                    </w:tc>
                    <w:tc>
                      <w:tcPr>
                        <w:tcW w:w="1732" w:type="dxa"/>
                        <w:vAlign w:val="center"/>
                      </w:tcPr>
                      <w:p w14:paraId="3B24B855">
                        <w:pPr>
                          <w:tabs>
                            <w:tab w:val="left" w:pos="267"/>
                          </w:tabs>
                          <w:adjustRightInd w:val="0"/>
                          <w:snapToGrid w:val="0"/>
                          <w:spacing w:line="276" w:lineRule="auto"/>
                          <w:jc w:val="center"/>
                        </w:pPr>
                      </w:p>
                    </w:tc>
                    <w:tc>
                      <w:tcPr>
                        <w:tcW w:w="1418" w:type="dxa"/>
                        <w:vAlign w:val="center"/>
                      </w:tcPr>
                      <w:p w14:paraId="0AC060B6">
                        <w:pPr>
                          <w:tabs>
                            <w:tab w:val="left" w:pos="267"/>
                          </w:tabs>
                          <w:adjustRightInd w:val="0"/>
                          <w:snapToGrid w:val="0"/>
                          <w:spacing w:line="276" w:lineRule="auto"/>
                          <w:jc w:val="center"/>
                        </w:pPr>
                      </w:p>
                    </w:tc>
                    <w:tc>
                      <w:tcPr>
                        <w:tcW w:w="1417" w:type="dxa"/>
                        <w:vAlign w:val="center"/>
                      </w:tcPr>
                      <w:p w14:paraId="114AE9B5">
                        <w:pPr>
                          <w:tabs>
                            <w:tab w:val="left" w:pos="267"/>
                          </w:tabs>
                          <w:adjustRightInd w:val="0"/>
                          <w:snapToGrid w:val="0"/>
                          <w:spacing w:line="276" w:lineRule="auto"/>
                          <w:jc w:val="center"/>
                        </w:pPr>
                      </w:p>
                    </w:tc>
                  </w:tr>
                  <w:tr w14:paraId="00E85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379" w:hRule="atLeast"/>
                      <w:jc w:val="center"/>
                    </w:trPr>
                    <w:tc>
                      <w:tcPr>
                        <w:tcW w:w="943" w:type="dxa"/>
                        <w:vAlign w:val="center"/>
                      </w:tcPr>
                      <w:p w14:paraId="19C98BB6">
                        <w:pPr>
                          <w:tabs>
                            <w:tab w:val="left" w:pos="267"/>
                          </w:tabs>
                          <w:adjustRightInd w:val="0"/>
                          <w:snapToGrid w:val="0"/>
                          <w:spacing w:line="276" w:lineRule="auto"/>
                          <w:jc w:val="center"/>
                        </w:pPr>
                        <w:r>
                          <w:rPr>
                            <w:rFonts w:hint="eastAsia"/>
                          </w:rPr>
                          <w:t>3</w:t>
                        </w:r>
                      </w:p>
                    </w:tc>
                    <w:tc>
                      <w:tcPr>
                        <w:tcW w:w="1417" w:type="dxa"/>
                        <w:vAlign w:val="center"/>
                      </w:tcPr>
                      <w:p w14:paraId="6401972A">
                        <w:pPr>
                          <w:tabs>
                            <w:tab w:val="left" w:pos="267"/>
                          </w:tabs>
                          <w:adjustRightInd w:val="0"/>
                          <w:snapToGrid w:val="0"/>
                          <w:spacing w:line="276" w:lineRule="auto"/>
                          <w:jc w:val="center"/>
                        </w:pPr>
                      </w:p>
                    </w:tc>
                    <w:tc>
                      <w:tcPr>
                        <w:tcW w:w="1732" w:type="dxa"/>
                        <w:vAlign w:val="center"/>
                      </w:tcPr>
                      <w:p w14:paraId="2C111321">
                        <w:pPr>
                          <w:tabs>
                            <w:tab w:val="left" w:pos="267"/>
                          </w:tabs>
                          <w:adjustRightInd w:val="0"/>
                          <w:snapToGrid w:val="0"/>
                          <w:spacing w:line="276" w:lineRule="auto"/>
                          <w:jc w:val="center"/>
                        </w:pPr>
                      </w:p>
                    </w:tc>
                    <w:tc>
                      <w:tcPr>
                        <w:tcW w:w="1418" w:type="dxa"/>
                        <w:vAlign w:val="center"/>
                      </w:tcPr>
                      <w:p w14:paraId="2617AFE8">
                        <w:pPr>
                          <w:tabs>
                            <w:tab w:val="left" w:pos="267"/>
                          </w:tabs>
                          <w:adjustRightInd w:val="0"/>
                          <w:snapToGrid w:val="0"/>
                          <w:spacing w:line="276" w:lineRule="auto"/>
                          <w:jc w:val="center"/>
                        </w:pPr>
                      </w:p>
                    </w:tc>
                    <w:tc>
                      <w:tcPr>
                        <w:tcW w:w="1417" w:type="dxa"/>
                        <w:vAlign w:val="center"/>
                      </w:tcPr>
                      <w:p w14:paraId="75C425BA">
                        <w:pPr>
                          <w:tabs>
                            <w:tab w:val="left" w:pos="267"/>
                          </w:tabs>
                          <w:adjustRightInd w:val="0"/>
                          <w:snapToGrid w:val="0"/>
                          <w:spacing w:line="276" w:lineRule="auto"/>
                          <w:jc w:val="center"/>
                        </w:pPr>
                      </w:p>
                    </w:tc>
                  </w:tr>
                </w:tbl>
                <w:p w14:paraId="5AE1C3E9">
                  <w:pPr>
                    <w:pStyle w:val="43"/>
                    <w:numPr>
                      <w:ilvl w:val="0"/>
                      <w:numId w:val="2"/>
                    </w:numPr>
                    <w:tabs>
                      <w:tab w:val="left" w:pos="267"/>
                    </w:tabs>
                    <w:spacing w:line="360" w:lineRule="auto"/>
                    <w:ind w:firstLineChars="0"/>
                  </w:pPr>
                </w:p>
                <w:p w14:paraId="4E211C4D">
                  <w:pPr>
                    <w:tabs>
                      <w:tab w:val="left" w:pos="267"/>
                    </w:tabs>
                    <w:spacing w:line="360" w:lineRule="auto"/>
                  </w:pPr>
                  <w:r>
                    <w:rPr>
                      <w:rFonts w:hint="eastAsia"/>
                    </w:rPr>
                    <w:t>2、辐射照度</w:t>
                  </w:r>
                </w:p>
                <w:tbl>
                  <w:tblPr>
                    <w:tblStyle w:val="16"/>
                    <w:tblW w:w="6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57" w:type="dxa"/>
                    </w:tblCellMar>
                  </w:tblPr>
                  <w:tblGrid>
                    <w:gridCol w:w="920"/>
                    <w:gridCol w:w="1559"/>
                    <w:gridCol w:w="1386"/>
                    <w:gridCol w:w="1326"/>
                    <w:gridCol w:w="1567"/>
                  </w:tblGrid>
                  <w:tr w14:paraId="1668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567" w:hRule="atLeast"/>
                      <w:jc w:val="center"/>
                    </w:trPr>
                    <w:tc>
                      <w:tcPr>
                        <w:tcW w:w="920" w:type="dxa"/>
                        <w:vAlign w:val="center"/>
                      </w:tcPr>
                      <w:p w14:paraId="67478E16">
                        <w:pPr>
                          <w:tabs>
                            <w:tab w:val="left" w:pos="267"/>
                          </w:tabs>
                          <w:adjustRightInd w:val="0"/>
                          <w:snapToGrid w:val="0"/>
                          <w:spacing w:line="276" w:lineRule="auto"/>
                          <w:jc w:val="center"/>
                        </w:pPr>
                        <w:r>
                          <w:rPr>
                            <w:rFonts w:hint="eastAsia"/>
                          </w:rPr>
                          <w:t>序号</w:t>
                        </w:r>
                      </w:p>
                    </w:tc>
                    <w:tc>
                      <w:tcPr>
                        <w:tcW w:w="1559" w:type="dxa"/>
                      </w:tcPr>
                      <w:p w14:paraId="3F22D336">
                        <w:pPr>
                          <w:tabs>
                            <w:tab w:val="left" w:pos="267"/>
                          </w:tabs>
                          <w:adjustRightInd w:val="0"/>
                          <w:snapToGrid w:val="0"/>
                          <w:spacing w:line="276" w:lineRule="auto"/>
                          <w:jc w:val="center"/>
                        </w:pPr>
                        <w:r>
                          <w:rPr>
                            <w:rFonts w:hint="eastAsia"/>
                          </w:rPr>
                          <w:t>标准值(kW/m</w:t>
                        </w:r>
                        <w:r>
                          <w:rPr>
                            <w:rFonts w:hint="eastAsia"/>
                            <w:vertAlign w:val="superscript"/>
                          </w:rPr>
                          <w:t>2</w:t>
                        </w:r>
                        <w:r>
                          <w:rPr>
                            <w:rFonts w:hint="eastAsia"/>
                          </w:rPr>
                          <w:t>)</w:t>
                        </w:r>
                      </w:p>
                    </w:tc>
                    <w:tc>
                      <w:tcPr>
                        <w:tcW w:w="1386" w:type="dxa"/>
                        <w:vAlign w:val="center"/>
                      </w:tcPr>
                      <w:p w14:paraId="360D83B4">
                        <w:pPr>
                          <w:tabs>
                            <w:tab w:val="left" w:pos="267"/>
                          </w:tabs>
                          <w:adjustRightInd w:val="0"/>
                          <w:snapToGrid w:val="0"/>
                          <w:spacing w:line="276" w:lineRule="auto"/>
                          <w:jc w:val="center"/>
                        </w:pPr>
                        <w:r>
                          <w:rPr>
                            <w:rFonts w:hint="eastAsia"/>
                          </w:rPr>
                          <w:t>示值(kW/m</w:t>
                        </w:r>
                        <w:r>
                          <w:rPr>
                            <w:rFonts w:hint="eastAsia"/>
                            <w:vertAlign w:val="superscript"/>
                          </w:rPr>
                          <w:t>2</w:t>
                        </w:r>
                        <w:r>
                          <w:rPr>
                            <w:rFonts w:hint="eastAsia"/>
                          </w:rPr>
                          <w:t>)</w:t>
                        </w:r>
                      </w:p>
                    </w:tc>
                    <w:tc>
                      <w:tcPr>
                        <w:tcW w:w="1326" w:type="dxa"/>
                        <w:vAlign w:val="center"/>
                      </w:tcPr>
                      <w:p w14:paraId="3F825600">
                        <w:pPr>
                          <w:tabs>
                            <w:tab w:val="left" w:pos="267"/>
                          </w:tabs>
                          <w:adjustRightInd w:val="0"/>
                          <w:snapToGrid w:val="0"/>
                          <w:spacing w:line="276" w:lineRule="auto"/>
                          <w:jc w:val="center"/>
                        </w:pPr>
                        <w:r>
                          <w:rPr>
                            <w:rFonts w:hint="eastAsia"/>
                          </w:rPr>
                          <w:t>示值误差</w:t>
                        </w:r>
                      </w:p>
                    </w:tc>
                    <w:tc>
                      <w:tcPr>
                        <w:tcW w:w="1567" w:type="dxa"/>
                      </w:tcPr>
                      <w:p w14:paraId="062A0E07">
                        <w:pPr>
                          <w:tabs>
                            <w:tab w:val="left" w:pos="267"/>
                          </w:tabs>
                          <w:adjustRightInd w:val="0"/>
                          <w:snapToGrid w:val="0"/>
                          <w:spacing w:line="276" w:lineRule="auto"/>
                          <w:jc w:val="center"/>
                        </w:pPr>
                        <w:r>
                          <w:rPr>
                            <w:rFonts w:hint="eastAsia"/>
                          </w:rPr>
                          <w:t>扩展不确定度(</w:t>
                        </w:r>
                        <w:r>
                          <w:rPr>
                            <w:rFonts w:hint="eastAsia"/>
                            <w:i/>
                          </w:rPr>
                          <w:t>k</w:t>
                        </w:r>
                        <w:r>
                          <w:rPr>
                            <w:rFonts w:hint="eastAsia"/>
                          </w:rPr>
                          <w:t>=2)</w:t>
                        </w:r>
                      </w:p>
                    </w:tc>
                  </w:tr>
                  <w:tr w14:paraId="4A39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78" w:hRule="atLeast"/>
                      <w:jc w:val="center"/>
                    </w:trPr>
                    <w:tc>
                      <w:tcPr>
                        <w:tcW w:w="920" w:type="dxa"/>
                        <w:vAlign w:val="center"/>
                      </w:tcPr>
                      <w:p w14:paraId="4EDBD001">
                        <w:pPr>
                          <w:tabs>
                            <w:tab w:val="left" w:pos="267"/>
                          </w:tabs>
                          <w:adjustRightInd w:val="0"/>
                          <w:snapToGrid w:val="0"/>
                          <w:spacing w:line="276" w:lineRule="auto"/>
                          <w:jc w:val="center"/>
                        </w:pPr>
                        <w:r>
                          <w:rPr>
                            <w:rFonts w:hint="eastAsia"/>
                          </w:rPr>
                          <w:t>1</w:t>
                        </w:r>
                      </w:p>
                    </w:tc>
                    <w:tc>
                      <w:tcPr>
                        <w:tcW w:w="1559" w:type="dxa"/>
                      </w:tcPr>
                      <w:p w14:paraId="61C7A03C">
                        <w:pPr>
                          <w:tabs>
                            <w:tab w:val="left" w:pos="267"/>
                          </w:tabs>
                          <w:adjustRightInd w:val="0"/>
                          <w:snapToGrid w:val="0"/>
                          <w:spacing w:line="276" w:lineRule="auto"/>
                          <w:jc w:val="center"/>
                        </w:pPr>
                      </w:p>
                    </w:tc>
                    <w:tc>
                      <w:tcPr>
                        <w:tcW w:w="1386" w:type="dxa"/>
                        <w:vAlign w:val="center"/>
                      </w:tcPr>
                      <w:p w14:paraId="425B10E3">
                        <w:pPr>
                          <w:tabs>
                            <w:tab w:val="left" w:pos="267"/>
                          </w:tabs>
                          <w:adjustRightInd w:val="0"/>
                          <w:snapToGrid w:val="0"/>
                          <w:spacing w:line="276" w:lineRule="auto"/>
                          <w:jc w:val="center"/>
                        </w:pPr>
                      </w:p>
                    </w:tc>
                    <w:tc>
                      <w:tcPr>
                        <w:tcW w:w="1326" w:type="dxa"/>
                        <w:vAlign w:val="center"/>
                      </w:tcPr>
                      <w:p w14:paraId="3AA3AE4E">
                        <w:pPr>
                          <w:tabs>
                            <w:tab w:val="left" w:pos="267"/>
                          </w:tabs>
                          <w:adjustRightInd w:val="0"/>
                          <w:snapToGrid w:val="0"/>
                          <w:spacing w:line="276" w:lineRule="auto"/>
                          <w:jc w:val="center"/>
                        </w:pPr>
                      </w:p>
                    </w:tc>
                    <w:tc>
                      <w:tcPr>
                        <w:tcW w:w="1567" w:type="dxa"/>
                      </w:tcPr>
                      <w:p w14:paraId="3462B802">
                        <w:pPr>
                          <w:tabs>
                            <w:tab w:val="left" w:pos="267"/>
                          </w:tabs>
                          <w:adjustRightInd w:val="0"/>
                          <w:snapToGrid w:val="0"/>
                          <w:spacing w:line="276" w:lineRule="auto"/>
                          <w:jc w:val="center"/>
                        </w:pPr>
                      </w:p>
                    </w:tc>
                  </w:tr>
                  <w:tr w14:paraId="752B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58" w:hRule="atLeast"/>
                      <w:jc w:val="center"/>
                    </w:trPr>
                    <w:tc>
                      <w:tcPr>
                        <w:tcW w:w="920" w:type="dxa"/>
                        <w:vAlign w:val="center"/>
                      </w:tcPr>
                      <w:p w14:paraId="2DD69320">
                        <w:pPr>
                          <w:tabs>
                            <w:tab w:val="left" w:pos="267"/>
                          </w:tabs>
                          <w:adjustRightInd w:val="0"/>
                          <w:snapToGrid w:val="0"/>
                          <w:spacing w:line="276" w:lineRule="auto"/>
                          <w:jc w:val="center"/>
                        </w:pPr>
                        <w:r>
                          <w:rPr>
                            <w:rFonts w:hint="eastAsia"/>
                          </w:rPr>
                          <w:t>2</w:t>
                        </w:r>
                      </w:p>
                    </w:tc>
                    <w:tc>
                      <w:tcPr>
                        <w:tcW w:w="1559" w:type="dxa"/>
                      </w:tcPr>
                      <w:p w14:paraId="1BD6FE61">
                        <w:pPr>
                          <w:tabs>
                            <w:tab w:val="left" w:pos="267"/>
                          </w:tabs>
                          <w:adjustRightInd w:val="0"/>
                          <w:snapToGrid w:val="0"/>
                          <w:spacing w:line="276" w:lineRule="auto"/>
                          <w:jc w:val="center"/>
                        </w:pPr>
                      </w:p>
                    </w:tc>
                    <w:tc>
                      <w:tcPr>
                        <w:tcW w:w="1386" w:type="dxa"/>
                        <w:vAlign w:val="center"/>
                      </w:tcPr>
                      <w:p w14:paraId="21E99B38">
                        <w:pPr>
                          <w:tabs>
                            <w:tab w:val="left" w:pos="267"/>
                          </w:tabs>
                          <w:adjustRightInd w:val="0"/>
                          <w:snapToGrid w:val="0"/>
                          <w:spacing w:line="276" w:lineRule="auto"/>
                          <w:jc w:val="center"/>
                        </w:pPr>
                      </w:p>
                    </w:tc>
                    <w:tc>
                      <w:tcPr>
                        <w:tcW w:w="1326" w:type="dxa"/>
                        <w:vAlign w:val="center"/>
                      </w:tcPr>
                      <w:p w14:paraId="19F46DDE">
                        <w:pPr>
                          <w:tabs>
                            <w:tab w:val="left" w:pos="267"/>
                          </w:tabs>
                          <w:adjustRightInd w:val="0"/>
                          <w:snapToGrid w:val="0"/>
                          <w:spacing w:line="276" w:lineRule="auto"/>
                          <w:jc w:val="center"/>
                        </w:pPr>
                      </w:p>
                    </w:tc>
                    <w:tc>
                      <w:tcPr>
                        <w:tcW w:w="1567" w:type="dxa"/>
                      </w:tcPr>
                      <w:p w14:paraId="51278BCE">
                        <w:pPr>
                          <w:tabs>
                            <w:tab w:val="left" w:pos="267"/>
                          </w:tabs>
                          <w:adjustRightInd w:val="0"/>
                          <w:snapToGrid w:val="0"/>
                          <w:spacing w:line="276" w:lineRule="auto"/>
                          <w:jc w:val="center"/>
                        </w:pPr>
                      </w:p>
                    </w:tc>
                  </w:tr>
                  <w:tr w14:paraId="23E0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379" w:hRule="atLeast"/>
                      <w:jc w:val="center"/>
                    </w:trPr>
                    <w:tc>
                      <w:tcPr>
                        <w:tcW w:w="920" w:type="dxa"/>
                        <w:vAlign w:val="center"/>
                      </w:tcPr>
                      <w:p w14:paraId="1562C0C4">
                        <w:pPr>
                          <w:tabs>
                            <w:tab w:val="left" w:pos="267"/>
                          </w:tabs>
                          <w:adjustRightInd w:val="0"/>
                          <w:snapToGrid w:val="0"/>
                          <w:spacing w:line="276" w:lineRule="auto"/>
                          <w:jc w:val="center"/>
                        </w:pPr>
                        <w:r>
                          <w:rPr>
                            <w:rFonts w:hint="eastAsia"/>
                          </w:rPr>
                          <w:t>3</w:t>
                        </w:r>
                      </w:p>
                    </w:tc>
                    <w:tc>
                      <w:tcPr>
                        <w:tcW w:w="1559" w:type="dxa"/>
                      </w:tcPr>
                      <w:p w14:paraId="0889D2FB">
                        <w:pPr>
                          <w:tabs>
                            <w:tab w:val="left" w:pos="267"/>
                          </w:tabs>
                          <w:adjustRightInd w:val="0"/>
                          <w:snapToGrid w:val="0"/>
                          <w:spacing w:line="276" w:lineRule="auto"/>
                          <w:jc w:val="center"/>
                        </w:pPr>
                      </w:p>
                    </w:tc>
                    <w:tc>
                      <w:tcPr>
                        <w:tcW w:w="1386" w:type="dxa"/>
                        <w:vAlign w:val="center"/>
                      </w:tcPr>
                      <w:p w14:paraId="2A6FAE5E">
                        <w:pPr>
                          <w:tabs>
                            <w:tab w:val="left" w:pos="267"/>
                          </w:tabs>
                          <w:adjustRightInd w:val="0"/>
                          <w:snapToGrid w:val="0"/>
                          <w:spacing w:line="276" w:lineRule="auto"/>
                          <w:jc w:val="center"/>
                        </w:pPr>
                      </w:p>
                    </w:tc>
                    <w:tc>
                      <w:tcPr>
                        <w:tcW w:w="1326" w:type="dxa"/>
                        <w:vAlign w:val="center"/>
                      </w:tcPr>
                      <w:p w14:paraId="1981150E">
                        <w:pPr>
                          <w:tabs>
                            <w:tab w:val="left" w:pos="267"/>
                          </w:tabs>
                          <w:adjustRightInd w:val="0"/>
                          <w:snapToGrid w:val="0"/>
                          <w:spacing w:line="276" w:lineRule="auto"/>
                          <w:jc w:val="center"/>
                        </w:pPr>
                      </w:p>
                    </w:tc>
                    <w:tc>
                      <w:tcPr>
                        <w:tcW w:w="1567" w:type="dxa"/>
                      </w:tcPr>
                      <w:p w14:paraId="081189D0">
                        <w:pPr>
                          <w:tabs>
                            <w:tab w:val="left" w:pos="267"/>
                          </w:tabs>
                          <w:adjustRightInd w:val="0"/>
                          <w:snapToGrid w:val="0"/>
                          <w:spacing w:line="276" w:lineRule="auto"/>
                          <w:jc w:val="center"/>
                        </w:pPr>
                      </w:p>
                    </w:tc>
                  </w:tr>
                </w:tbl>
                <w:p w14:paraId="7D88D3B7">
                  <w:pPr>
                    <w:tabs>
                      <w:tab w:val="left" w:pos="267"/>
                    </w:tabs>
                    <w:spacing w:line="360" w:lineRule="auto"/>
                    <w:ind w:left="420" w:hanging="420" w:hangingChars="200"/>
                  </w:pPr>
                  <w:r>
                    <w:rPr>
                      <w:rFonts w:hint="eastAsia"/>
                    </w:rPr>
                    <w:t>3、比光密度</w:t>
                  </w:r>
                </w:p>
                <w:tbl>
                  <w:tblPr>
                    <w:tblStyle w:val="16"/>
                    <w:tblW w:w="6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57" w:type="dxa"/>
                    </w:tblCellMar>
                  </w:tblPr>
                  <w:tblGrid>
                    <w:gridCol w:w="943"/>
                    <w:gridCol w:w="1417"/>
                    <w:gridCol w:w="1560"/>
                    <w:gridCol w:w="1258"/>
                    <w:gridCol w:w="1623"/>
                  </w:tblGrid>
                  <w:tr w14:paraId="23F1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567" w:hRule="atLeast"/>
                      <w:jc w:val="center"/>
                    </w:trPr>
                    <w:tc>
                      <w:tcPr>
                        <w:tcW w:w="943" w:type="dxa"/>
                        <w:vAlign w:val="center"/>
                      </w:tcPr>
                      <w:p w14:paraId="052EFBDC">
                        <w:pPr>
                          <w:tabs>
                            <w:tab w:val="left" w:pos="267"/>
                          </w:tabs>
                          <w:adjustRightInd w:val="0"/>
                          <w:snapToGrid w:val="0"/>
                          <w:spacing w:line="276" w:lineRule="auto"/>
                          <w:jc w:val="center"/>
                        </w:pPr>
                        <w:r>
                          <w:rPr>
                            <w:rFonts w:hint="eastAsia"/>
                          </w:rPr>
                          <w:t>序号</w:t>
                        </w:r>
                      </w:p>
                    </w:tc>
                    <w:tc>
                      <w:tcPr>
                        <w:tcW w:w="1417" w:type="dxa"/>
                        <w:vAlign w:val="center"/>
                      </w:tcPr>
                      <w:p w14:paraId="7680DB72">
                        <w:pPr>
                          <w:tabs>
                            <w:tab w:val="left" w:pos="267"/>
                          </w:tabs>
                          <w:adjustRightInd w:val="0"/>
                          <w:snapToGrid w:val="0"/>
                          <w:spacing w:line="276" w:lineRule="auto"/>
                          <w:jc w:val="center"/>
                        </w:pPr>
                        <w:r>
                          <w:rPr>
                            <w:rFonts w:hint="eastAsia"/>
                          </w:rPr>
                          <w:t>标准值</w:t>
                        </w:r>
                      </w:p>
                    </w:tc>
                    <w:tc>
                      <w:tcPr>
                        <w:tcW w:w="1560" w:type="dxa"/>
                        <w:vAlign w:val="center"/>
                      </w:tcPr>
                      <w:p w14:paraId="486F8AEA">
                        <w:pPr>
                          <w:tabs>
                            <w:tab w:val="left" w:pos="267"/>
                          </w:tabs>
                          <w:adjustRightInd w:val="0"/>
                          <w:snapToGrid w:val="0"/>
                          <w:spacing w:line="276" w:lineRule="auto"/>
                          <w:jc w:val="center"/>
                        </w:pPr>
                        <w:r>
                          <w:rPr>
                            <w:rFonts w:hint="eastAsia"/>
                          </w:rPr>
                          <w:t>示值误差</w:t>
                        </w:r>
                      </w:p>
                    </w:tc>
                    <w:tc>
                      <w:tcPr>
                        <w:tcW w:w="1258" w:type="dxa"/>
                        <w:vAlign w:val="center"/>
                      </w:tcPr>
                      <w:p w14:paraId="7A311F6D">
                        <w:pPr>
                          <w:tabs>
                            <w:tab w:val="left" w:pos="267"/>
                          </w:tabs>
                          <w:adjustRightInd w:val="0"/>
                          <w:snapToGrid w:val="0"/>
                          <w:spacing w:line="276" w:lineRule="auto"/>
                          <w:jc w:val="center"/>
                        </w:pPr>
                        <w:r>
                          <w:rPr>
                            <w:rFonts w:hint="eastAsia"/>
                          </w:rPr>
                          <w:t>重复性</w:t>
                        </w:r>
                      </w:p>
                    </w:tc>
                    <w:tc>
                      <w:tcPr>
                        <w:tcW w:w="1623" w:type="dxa"/>
                        <w:vAlign w:val="center"/>
                      </w:tcPr>
                      <w:p w14:paraId="498F926E">
                        <w:pPr>
                          <w:tabs>
                            <w:tab w:val="left" w:pos="267"/>
                          </w:tabs>
                          <w:adjustRightInd w:val="0"/>
                          <w:snapToGrid w:val="0"/>
                          <w:spacing w:line="276" w:lineRule="auto"/>
                          <w:jc w:val="center"/>
                        </w:pPr>
                        <w:r>
                          <w:rPr>
                            <w:rFonts w:hint="eastAsia"/>
                          </w:rPr>
                          <w:t>扩展不确定度(</w:t>
                        </w:r>
                        <w:r>
                          <w:rPr>
                            <w:rFonts w:hint="eastAsia"/>
                            <w:i/>
                          </w:rPr>
                          <w:t>k</w:t>
                        </w:r>
                        <w:r>
                          <w:rPr>
                            <w:rFonts w:hint="eastAsia"/>
                          </w:rPr>
                          <w:t>=2)</w:t>
                        </w:r>
                      </w:p>
                    </w:tc>
                  </w:tr>
                  <w:tr w14:paraId="7BA0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78" w:hRule="atLeast"/>
                      <w:jc w:val="center"/>
                    </w:trPr>
                    <w:tc>
                      <w:tcPr>
                        <w:tcW w:w="943" w:type="dxa"/>
                        <w:vAlign w:val="center"/>
                      </w:tcPr>
                      <w:p w14:paraId="7FFA75DD">
                        <w:pPr>
                          <w:tabs>
                            <w:tab w:val="left" w:pos="267"/>
                          </w:tabs>
                          <w:adjustRightInd w:val="0"/>
                          <w:snapToGrid w:val="0"/>
                          <w:spacing w:line="276" w:lineRule="auto"/>
                          <w:jc w:val="center"/>
                        </w:pPr>
                        <w:r>
                          <w:rPr>
                            <w:rFonts w:hint="eastAsia"/>
                          </w:rPr>
                          <w:t>1</w:t>
                        </w:r>
                      </w:p>
                    </w:tc>
                    <w:tc>
                      <w:tcPr>
                        <w:tcW w:w="1417" w:type="dxa"/>
                        <w:vAlign w:val="center"/>
                      </w:tcPr>
                      <w:p w14:paraId="46889226">
                        <w:pPr>
                          <w:tabs>
                            <w:tab w:val="left" w:pos="267"/>
                          </w:tabs>
                          <w:adjustRightInd w:val="0"/>
                          <w:snapToGrid w:val="0"/>
                          <w:spacing w:line="276" w:lineRule="auto"/>
                          <w:jc w:val="center"/>
                        </w:pPr>
                      </w:p>
                    </w:tc>
                    <w:tc>
                      <w:tcPr>
                        <w:tcW w:w="1560" w:type="dxa"/>
                        <w:vAlign w:val="center"/>
                      </w:tcPr>
                      <w:p w14:paraId="005BA72E">
                        <w:pPr>
                          <w:tabs>
                            <w:tab w:val="left" w:pos="267"/>
                          </w:tabs>
                          <w:adjustRightInd w:val="0"/>
                          <w:snapToGrid w:val="0"/>
                          <w:spacing w:line="276" w:lineRule="auto"/>
                          <w:jc w:val="center"/>
                        </w:pPr>
                      </w:p>
                    </w:tc>
                    <w:tc>
                      <w:tcPr>
                        <w:tcW w:w="1258" w:type="dxa"/>
                        <w:vAlign w:val="center"/>
                      </w:tcPr>
                      <w:p w14:paraId="57294E5A">
                        <w:pPr>
                          <w:tabs>
                            <w:tab w:val="left" w:pos="267"/>
                          </w:tabs>
                          <w:adjustRightInd w:val="0"/>
                          <w:snapToGrid w:val="0"/>
                          <w:spacing w:line="276" w:lineRule="auto"/>
                          <w:jc w:val="center"/>
                        </w:pPr>
                      </w:p>
                    </w:tc>
                    <w:tc>
                      <w:tcPr>
                        <w:tcW w:w="1623" w:type="dxa"/>
                        <w:vAlign w:val="center"/>
                      </w:tcPr>
                      <w:p w14:paraId="66AFA6D7">
                        <w:pPr>
                          <w:tabs>
                            <w:tab w:val="left" w:pos="267"/>
                          </w:tabs>
                          <w:adjustRightInd w:val="0"/>
                          <w:snapToGrid w:val="0"/>
                          <w:spacing w:line="276" w:lineRule="auto"/>
                          <w:jc w:val="center"/>
                        </w:pPr>
                      </w:p>
                    </w:tc>
                  </w:tr>
                  <w:tr w14:paraId="3FA1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458" w:hRule="atLeast"/>
                      <w:jc w:val="center"/>
                    </w:trPr>
                    <w:tc>
                      <w:tcPr>
                        <w:tcW w:w="943" w:type="dxa"/>
                        <w:vAlign w:val="center"/>
                      </w:tcPr>
                      <w:p w14:paraId="549BA0EB">
                        <w:pPr>
                          <w:tabs>
                            <w:tab w:val="left" w:pos="267"/>
                          </w:tabs>
                          <w:adjustRightInd w:val="0"/>
                          <w:snapToGrid w:val="0"/>
                          <w:spacing w:line="276" w:lineRule="auto"/>
                          <w:jc w:val="center"/>
                        </w:pPr>
                        <w:r>
                          <w:rPr>
                            <w:rFonts w:hint="eastAsia"/>
                          </w:rPr>
                          <w:t>2</w:t>
                        </w:r>
                      </w:p>
                    </w:tc>
                    <w:tc>
                      <w:tcPr>
                        <w:tcW w:w="1417" w:type="dxa"/>
                        <w:vAlign w:val="center"/>
                      </w:tcPr>
                      <w:p w14:paraId="71793DF2">
                        <w:pPr>
                          <w:tabs>
                            <w:tab w:val="left" w:pos="267"/>
                          </w:tabs>
                          <w:adjustRightInd w:val="0"/>
                          <w:snapToGrid w:val="0"/>
                          <w:spacing w:line="276" w:lineRule="auto"/>
                          <w:jc w:val="center"/>
                        </w:pPr>
                      </w:p>
                    </w:tc>
                    <w:tc>
                      <w:tcPr>
                        <w:tcW w:w="1560" w:type="dxa"/>
                        <w:vAlign w:val="center"/>
                      </w:tcPr>
                      <w:p w14:paraId="534A604E">
                        <w:pPr>
                          <w:tabs>
                            <w:tab w:val="left" w:pos="267"/>
                          </w:tabs>
                          <w:adjustRightInd w:val="0"/>
                          <w:snapToGrid w:val="0"/>
                          <w:spacing w:line="276" w:lineRule="auto"/>
                          <w:jc w:val="center"/>
                        </w:pPr>
                      </w:p>
                    </w:tc>
                    <w:tc>
                      <w:tcPr>
                        <w:tcW w:w="1258" w:type="dxa"/>
                        <w:vAlign w:val="center"/>
                      </w:tcPr>
                      <w:p w14:paraId="675D5FAF">
                        <w:pPr>
                          <w:tabs>
                            <w:tab w:val="left" w:pos="267"/>
                          </w:tabs>
                          <w:adjustRightInd w:val="0"/>
                          <w:snapToGrid w:val="0"/>
                          <w:spacing w:line="276" w:lineRule="auto"/>
                          <w:jc w:val="center"/>
                        </w:pPr>
                      </w:p>
                    </w:tc>
                    <w:tc>
                      <w:tcPr>
                        <w:tcW w:w="1623" w:type="dxa"/>
                        <w:vAlign w:val="center"/>
                      </w:tcPr>
                      <w:p w14:paraId="042CA421">
                        <w:pPr>
                          <w:tabs>
                            <w:tab w:val="left" w:pos="267"/>
                          </w:tabs>
                          <w:adjustRightInd w:val="0"/>
                          <w:snapToGrid w:val="0"/>
                          <w:spacing w:line="276" w:lineRule="auto"/>
                          <w:jc w:val="center"/>
                        </w:pPr>
                      </w:p>
                    </w:tc>
                  </w:tr>
                  <w:tr w14:paraId="4B37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57" w:type="dxa"/>
                      </w:tblCellMar>
                    </w:tblPrEx>
                    <w:trPr>
                      <w:trHeight w:val="379" w:hRule="atLeast"/>
                      <w:jc w:val="center"/>
                    </w:trPr>
                    <w:tc>
                      <w:tcPr>
                        <w:tcW w:w="943" w:type="dxa"/>
                        <w:vAlign w:val="center"/>
                      </w:tcPr>
                      <w:p w14:paraId="274E9A18">
                        <w:pPr>
                          <w:tabs>
                            <w:tab w:val="left" w:pos="267"/>
                          </w:tabs>
                          <w:adjustRightInd w:val="0"/>
                          <w:snapToGrid w:val="0"/>
                          <w:spacing w:line="276" w:lineRule="auto"/>
                          <w:jc w:val="center"/>
                        </w:pPr>
                        <w:r>
                          <w:rPr>
                            <w:rFonts w:hint="eastAsia"/>
                          </w:rPr>
                          <w:t>3</w:t>
                        </w:r>
                      </w:p>
                    </w:tc>
                    <w:tc>
                      <w:tcPr>
                        <w:tcW w:w="1417" w:type="dxa"/>
                        <w:vAlign w:val="center"/>
                      </w:tcPr>
                      <w:p w14:paraId="0D7A50C8">
                        <w:pPr>
                          <w:tabs>
                            <w:tab w:val="left" w:pos="267"/>
                          </w:tabs>
                          <w:adjustRightInd w:val="0"/>
                          <w:snapToGrid w:val="0"/>
                          <w:spacing w:line="276" w:lineRule="auto"/>
                          <w:jc w:val="center"/>
                        </w:pPr>
                      </w:p>
                    </w:tc>
                    <w:tc>
                      <w:tcPr>
                        <w:tcW w:w="1560" w:type="dxa"/>
                        <w:vAlign w:val="center"/>
                      </w:tcPr>
                      <w:p w14:paraId="2879B5C4">
                        <w:pPr>
                          <w:tabs>
                            <w:tab w:val="left" w:pos="267"/>
                          </w:tabs>
                          <w:adjustRightInd w:val="0"/>
                          <w:snapToGrid w:val="0"/>
                          <w:spacing w:line="276" w:lineRule="auto"/>
                          <w:jc w:val="center"/>
                        </w:pPr>
                      </w:p>
                    </w:tc>
                    <w:tc>
                      <w:tcPr>
                        <w:tcW w:w="1258" w:type="dxa"/>
                        <w:vAlign w:val="center"/>
                      </w:tcPr>
                      <w:p w14:paraId="603EE104">
                        <w:pPr>
                          <w:tabs>
                            <w:tab w:val="left" w:pos="267"/>
                          </w:tabs>
                          <w:adjustRightInd w:val="0"/>
                          <w:snapToGrid w:val="0"/>
                          <w:spacing w:line="276" w:lineRule="auto"/>
                          <w:jc w:val="center"/>
                        </w:pPr>
                      </w:p>
                    </w:tc>
                    <w:tc>
                      <w:tcPr>
                        <w:tcW w:w="1623" w:type="dxa"/>
                        <w:vAlign w:val="center"/>
                      </w:tcPr>
                      <w:p w14:paraId="674B34DC">
                        <w:pPr>
                          <w:tabs>
                            <w:tab w:val="left" w:pos="267"/>
                          </w:tabs>
                          <w:adjustRightInd w:val="0"/>
                          <w:snapToGrid w:val="0"/>
                          <w:spacing w:line="276" w:lineRule="auto"/>
                          <w:jc w:val="center"/>
                        </w:pPr>
                      </w:p>
                    </w:tc>
                  </w:tr>
                </w:tbl>
                <w:p w14:paraId="38411217">
                  <w:pPr>
                    <w:tabs>
                      <w:tab w:val="left" w:pos="267"/>
                    </w:tabs>
                    <w:spacing w:line="360" w:lineRule="auto"/>
                    <w:ind w:left="420" w:hanging="420" w:hangingChars="200"/>
                  </w:pPr>
                </w:p>
                <w:p w14:paraId="335FE16F">
                  <w:pPr>
                    <w:tabs>
                      <w:tab w:val="left" w:pos="267"/>
                    </w:tabs>
                    <w:spacing w:line="360" w:lineRule="auto"/>
                    <w:ind w:left="420" w:hanging="420" w:hangingChars="200"/>
                  </w:pPr>
                </w:p>
                <w:p w14:paraId="00583A71">
                  <w:pPr>
                    <w:tabs>
                      <w:tab w:val="left" w:pos="267"/>
                    </w:tabs>
                    <w:spacing w:line="360" w:lineRule="auto"/>
                    <w:ind w:left="420" w:hanging="420" w:hangingChars="200"/>
                  </w:pPr>
                </w:p>
                <w:p w14:paraId="53C6AFBB">
                  <w:pPr>
                    <w:tabs>
                      <w:tab w:val="left" w:pos="267"/>
                    </w:tabs>
                    <w:spacing w:line="360" w:lineRule="auto"/>
                    <w:ind w:left="420" w:hanging="420" w:hangingChars="200"/>
                  </w:pPr>
                </w:p>
                <w:p w14:paraId="085078FF">
                  <w:pPr>
                    <w:tabs>
                      <w:tab w:val="left" w:pos="267"/>
                    </w:tabs>
                    <w:ind w:right="430" w:rightChars="205"/>
                    <w:jc w:val="center"/>
                    <w:rPr>
                      <w:sz w:val="28"/>
                      <w:szCs w:val="44"/>
                    </w:rPr>
                  </w:pPr>
                  <w:r>
                    <w:rPr>
                      <w:rFonts w:hint="eastAsia" w:ascii="宋体" w:hAnsi="宋体"/>
                      <w:sz w:val="28"/>
                      <w:szCs w:val="44"/>
                    </w:rPr>
                    <w:t>————————以下空白——————</w:t>
                  </w:r>
                </w:p>
              </w:tc>
            </w:tr>
          </w:tbl>
          <w:p w14:paraId="0471146F">
            <w:pPr>
              <w:jc w:val="center"/>
              <w:rPr>
                <w:rFonts w:hint="eastAsia" w:ascii="宋体" w:hAnsi="宋体"/>
              </w:rPr>
            </w:pPr>
            <w:r>
              <w:rPr>
                <w:rFonts w:hint="eastAsia" w:hAnsi="宋体"/>
              </w:rPr>
              <w:t>第</w:t>
            </w:r>
            <w:r>
              <w:rPr>
                <w:rFonts w:hint="eastAsia" w:ascii="宋体" w:hAnsi="宋体"/>
              </w:rPr>
              <w:t>×</w:t>
            </w:r>
            <w:r>
              <w:rPr>
                <w:rFonts w:hint="eastAsia" w:hAnsi="宋体"/>
              </w:rPr>
              <w:t>页 共</w:t>
            </w:r>
            <w:r>
              <w:rPr>
                <w:rFonts w:hint="eastAsia" w:ascii="宋体" w:hAnsi="宋体"/>
              </w:rPr>
              <w:t>×</w:t>
            </w:r>
            <w:r>
              <w:rPr>
                <w:rFonts w:hint="eastAsia" w:hAnsi="宋体"/>
              </w:rPr>
              <w:t>页</w:t>
            </w:r>
          </w:p>
        </w:tc>
      </w:tr>
    </w:tbl>
    <w:p w14:paraId="5FE76388">
      <w:pPr>
        <w:spacing w:line="360" w:lineRule="auto"/>
      </w:pPr>
    </w:p>
    <w:p w14:paraId="4C3254ED">
      <w:pPr>
        <w:pStyle w:val="6"/>
        <w:tabs>
          <w:tab w:val="left" w:pos="425"/>
        </w:tabs>
        <w:adjustRightInd w:val="0"/>
        <w:spacing w:before="120" w:after="120" w:line="300" w:lineRule="auto"/>
        <w:ind w:left="0" w:right="221" w:firstLine="480" w:firstLineChars="200"/>
        <w:jc w:val="left"/>
      </w:pPr>
      <w:r>
        <w:rPr>
          <w:rFonts w:hint="eastAsia"/>
          <w:sz w:val="24"/>
          <w:szCs w:val="24"/>
        </w:rPr>
        <w:t xml:space="preserve"> </w:t>
      </w:r>
    </w:p>
    <w:p w14:paraId="41F0D2F4">
      <w:pPr>
        <w:spacing w:line="360" w:lineRule="auto"/>
      </w:pPr>
    </w:p>
    <w:p w14:paraId="4ED99FB9">
      <w:pPr>
        <w:pStyle w:val="6"/>
        <w:tabs>
          <w:tab w:val="left" w:pos="425"/>
        </w:tabs>
        <w:spacing w:before="120" w:after="120" w:line="360" w:lineRule="auto"/>
        <w:ind w:left="0" w:right="222" w:firstLine="0"/>
        <w:rPr>
          <w:color w:val="000000"/>
          <w:sz w:val="24"/>
          <w:szCs w:val="24"/>
        </w:rPr>
      </w:pPr>
    </w:p>
    <w:p w14:paraId="0DD1682F">
      <w:pPr>
        <w:pStyle w:val="6"/>
        <w:tabs>
          <w:tab w:val="left" w:pos="425"/>
        </w:tabs>
        <w:spacing w:before="120" w:after="120" w:line="360" w:lineRule="auto"/>
        <w:ind w:left="0" w:right="222" w:firstLine="0"/>
        <w:rPr>
          <w:color w:val="000000"/>
          <w:sz w:val="24"/>
          <w:szCs w:val="24"/>
        </w:rPr>
      </w:pPr>
    </w:p>
    <w:p w14:paraId="35967CBC">
      <w:pPr>
        <w:pStyle w:val="42"/>
        <w:ind w:firstLine="0" w:firstLineChars="0"/>
        <w:rPr>
          <w:color w:val="000000"/>
        </w:rPr>
      </w:pPr>
      <w:r>
        <mc:AlternateContent>
          <mc:Choice Requires="wps">
            <w:drawing>
              <wp:anchor distT="0" distB="0" distL="114300" distR="114300" simplePos="0" relativeHeight="251662336" behindDoc="0" locked="0" layoutInCell="1" allowOverlap="1">
                <wp:simplePos x="0" y="0"/>
                <wp:positionH relativeFrom="column">
                  <wp:posOffset>5951220</wp:posOffset>
                </wp:positionH>
                <wp:positionV relativeFrom="paragraph">
                  <wp:posOffset>-318135</wp:posOffset>
                </wp:positionV>
                <wp:extent cx="417830" cy="2683510"/>
                <wp:effectExtent l="0" t="0" r="0" b="0"/>
                <wp:wrapNone/>
                <wp:docPr id="1676976480" name="文本框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17830" cy="2683510"/>
                        </a:xfrm>
                        <a:prstGeom prst="rect">
                          <a:avLst/>
                        </a:prstGeom>
                        <a:noFill/>
                        <a:ln>
                          <a:noFill/>
                        </a:ln>
                      </wps:spPr>
                      <wps:txbx>
                        <w:txbxContent>
                          <w:p w14:paraId="1AA67D02">
                            <w:pPr>
                              <w:jc w:val="right"/>
                              <w:rPr>
                                <w:b/>
                                <w:sz w:val="28"/>
                                <w:szCs w:val="28"/>
                              </w:rPr>
                            </w:pPr>
                            <w:r>
                              <w:rPr>
                                <w:rFonts w:hint="eastAsia"/>
                                <w:b/>
                                <w:sz w:val="28"/>
                                <w:szCs w:val="28"/>
                              </w:rPr>
                              <w:t>JJF</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wps:txbx>
                      <wps:bodyPr rot="0" vert="vert270" wrap="square" lIns="91440" tIns="45720" rIns="91440" bIns="45720" anchor="t" anchorCtr="0" upright="1">
                        <a:noAutofit/>
                      </wps:bodyPr>
                    </wps:wsp>
                  </a:graphicData>
                </a:graphic>
              </wp:anchor>
            </w:drawing>
          </mc:Choice>
          <mc:Fallback>
            <w:pict>
              <v:shape id="文本框 1" o:spid="_x0000_s1026" o:spt="202" type="#_x0000_t202" style="position:absolute;left:0pt;margin-left:468.6pt;margin-top:-25.05pt;height:211.3pt;width:32.9pt;z-index:251662336;mso-width-relative:page;mso-height-relative:page;" filled="f" stroked="f" coordsize="21600,21600" o:gfxdata="UEsDBAoAAAAAAIdO4kAAAAAAAAAAAAAAAAAEAAAAZHJzL1BLAwQUAAAACACHTuJAcgKstNsAAAAM&#10;AQAADwAAAGRycy9kb3ducmV2LnhtbE2Py07DMBBF90j8gzVI7Fo7jcojZNIFiEpsUBtgwc6JhyQi&#10;tkPsNunfM13BcnSP7pybb2bbiyONofMOIVkqEORqbzrXILy/PS/uQISondG9d4RwogCb4vIi15nx&#10;k9vTsYyN4BIXMo3QxjhkUoa6JavD0g/kOPvyo9WRz7GRZtQTl9terpS6kVZ3jj+0eqDHlurv8mAR&#10;PqrXU78f0k/VTS+7efuzK5+2DeL1VaIeQESa4x8MZ31Wh4KdKn9wJoge4T69XTGKsFirBMSZUCrl&#10;eRUCR2uQRS7/jyh+AVBLAwQUAAAACACHTuJAqIOI7CMCAAA0BAAADgAAAGRycy9lMm9Eb2MueG1s&#10;rVNBbtswELwX6B8I3mtZjmM7guUgjZGiQNoGSPsAmqIsohKXXdKW/IH2Bz310nvf5XdkSTmOm15y&#10;6IUgd5ezM8Pl/LJrarZV6DSYnKeDIWfKSCi0Wef8y+ebNzPOnBemEDUYlfOdcvxy8frVvLWZGkEF&#10;daGQEYhxWWtzXnlvsyRxslKNcAOwylCyBGyEpyOukwJFS+hNnYyGw0nSAhYWQSrnKLrsk/yAiC8B&#10;hLLUUi1BbhplfI+KqhaeJLlKW8cXkW1ZKuk/laVTntU5J6U+rtSE9quwJou5yNYobKXlgYJ4CYVn&#10;mhqhDTU9Qi2FF2yD+h+oRksEB6UfSGiSXkh0hFSkw2fe3FfCqqiFrHb2aLr7f7Dy4/YOmS5oEibT&#10;ycV0Mp6RNUY09PL7nz/2v/7sf39nafCptS6j8ntLF3z3Fjq6EzU7ewvyq2MGrith1urKWfI9ZJ9C&#10;iNBWShREPYIlJ2g9tAu4q/YDFNRabDxE7K7EJvhKTjFqSNx2x2dTnWeSguN0OjujjKTUaDI7O0/j&#10;uyYie7xt0fl3ChoWNjlHohfRxfbWeZJGpY8loZmBG13XcTRq81eACkMksg+Ee+q+W3UHg1ZQ7EgH&#10;Qj9p9M9oE9bRlBi2NGg5d982AhVn9XtDdlyk4zGlfDyMz6cjOuBpZnWaEUZWQPPrOeu3176f5o1F&#10;va6i6z3jK7Kw1FFd8LondqBOwxRFHwY/TOvpOVY9ffbF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ICrLTbAAAADAEAAA8AAAAAAAAAAQAgAAAAIgAAAGRycy9kb3ducmV2LnhtbFBLAQIUABQAAAAI&#10;AIdO4kCog4jsIwIAADQEAAAOAAAAAAAAAAEAIAAAACoBAABkcnMvZTJvRG9jLnhtbFBLBQYAAAAA&#10;BgAGAFkBAAC/BQAAAAA=&#10;">
                <v:fill on="f" focussize="0,0"/>
                <v:stroke on="f"/>
                <v:imagedata o:title=""/>
                <o:lock v:ext="edit" aspectratio="t"/>
                <v:textbox style="layout-flow:vertical;mso-layout-flow-alt:bottom-to-top;">
                  <w:txbxContent>
                    <w:p w14:paraId="1AA67D02">
                      <w:pPr>
                        <w:jc w:val="right"/>
                        <w:rPr>
                          <w:b/>
                          <w:sz w:val="28"/>
                          <w:szCs w:val="28"/>
                        </w:rPr>
                      </w:pPr>
                      <w:r>
                        <w:rPr>
                          <w:rFonts w:hint="eastAsia"/>
                          <w:b/>
                          <w:sz w:val="28"/>
                          <w:szCs w:val="28"/>
                        </w:rPr>
                        <w:t>JJF</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v:textbox>
              </v:shape>
            </w:pict>
          </mc:Fallback>
        </mc:AlternateContent>
      </w:r>
    </w:p>
    <w:p w14:paraId="693C11D6">
      <w:pPr>
        <w:rPr>
          <w:color w:val="000000"/>
        </w:rPr>
      </w:pPr>
    </w:p>
    <w:p w14:paraId="40851AE7">
      <w:pPr>
        <w:rPr>
          <w:color w:val="000000"/>
        </w:rPr>
      </w:pPr>
    </w:p>
    <w:p w14:paraId="4D65F9CB">
      <w:pPr>
        <w:rPr>
          <w:color w:val="000000"/>
        </w:rPr>
      </w:pPr>
    </w:p>
    <w:p w14:paraId="5C2CAD79">
      <w:pPr>
        <w:rPr>
          <w:color w:val="000000"/>
        </w:rPr>
      </w:pPr>
    </w:p>
    <w:p w14:paraId="3907D4CC">
      <w:pPr>
        <w:rPr>
          <w:color w:val="000000"/>
        </w:rPr>
      </w:pPr>
    </w:p>
    <w:p w14:paraId="7C7B67C7">
      <w:pPr>
        <w:rPr>
          <w:color w:val="000000"/>
        </w:rPr>
      </w:pPr>
    </w:p>
    <w:p w14:paraId="25493D0C">
      <w:pPr>
        <w:rPr>
          <w:color w:val="000000"/>
        </w:rPr>
      </w:pPr>
    </w:p>
    <w:p w14:paraId="05B7C3AA">
      <w:pPr>
        <w:rPr>
          <w:color w:val="000000"/>
        </w:rPr>
      </w:pPr>
    </w:p>
    <w:p w14:paraId="46D02FC1">
      <w:pPr>
        <w:rPr>
          <w:color w:val="000000"/>
        </w:rPr>
      </w:pPr>
    </w:p>
    <w:p w14:paraId="3BC4E072">
      <w:pPr>
        <w:rPr>
          <w:color w:val="000000"/>
        </w:rPr>
      </w:pPr>
    </w:p>
    <w:p w14:paraId="0AE34D62">
      <w:pPr>
        <w:rPr>
          <w:color w:val="000000"/>
        </w:rPr>
      </w:pPr>
    </w:p>
    <w:p w14:paraId="4D1C6585">
      <w:pPr>
        <w:rPr>
          <w:color w:val="000000"/>
        </w:rPr>
      </w:pPr>
    </w:p>
    <w:p w14:paraId="556F6CA4">
      <w:pPr>
        <w:rPr>
          <w:color w:val="000000"/>
        </w:rPr>
      </w:pPr>
    </w:p>
    <w:p w14:paraId="2EA7BACD">
      <w:pPr>
        <w:rPr>
          <w:color w:val="000000"/>
        </w:rPr>
      </w:pPr>
    </w:p>
    <w:p w14:paraId="73B62189">
      <w:pPr>
        <w:rPr>
          <w:color w:val="000000"/>
        </w:rPr>
      </w:pPr>
    </w:p>
    <w:p w14:paraId="2D318785">
      <w:pPr>
        <w:rPr>
          <w:color w:val="000000"/>
        </w:rPr>
      </w:pPr>
    </w:p>
    <w:p w14:paraId="6028D1CE">
      <w:pPr>
        <w:rPr>
          <w:color w:val="000000"/>
        </w:rPr>
      </w:pPr>
    </w:p>
    <w:p w14:paraId="1905B989">
      <w:pPr>
        <w:rPr>
          <w:color w:val="000000"/>
        </w:rPr>
      </w:pPr>
    </w:p>
    <w:p w14:paraId="0BAB6D40">
      <w:pPr>
        <w:rPr>
          <w:color w:val="000000"/>
        </w:rPr>
      </w:pPr>
    </w:p>
    <w:p w14:paraId="4A8AF7BB">
      <w:pPr>
        <w:rPr>
          <w:color w:val="000000"/>
        </w:rPr>
      </w:pPr>
    </w:p>
    <w:p w14:paraId="504EA5B6">
      <w:pPr>
        <w:rPr>
          <w:color w:val="000000"/>
        </w:rPr>
      </w:pPr>
    </w:p>
    <w:p w14:paraId="74381CB8">
      <w:pPr>
        <w:rPr>
          <w:color w:val="000000"/>
        </w:rPr>
      </w:pPr>
    </w:p>
    <w:p w14:paraId="27B2A460">
      <w:pPr>
        <w:rPr>
          <w:color w:val="000000"/>
        </w:rPr>
      </w:pPr>
    </w:p>
    <w:p w14:paraId="0B58AF26">
      <w:pPr>
        <w:rPr>
          <w:color w:val="000000"/>
        </w:rPr>
      </w:pPr>
    </w:p>
    <w:p w14:paraId="64440817">
      <w:pPr>
        <w:rPr>
          <w:color w:val="000000"/>
        </w:rPr>
      </w:pPr>
    </w:p>
    <w:p w14:paraId="20F7388B">
      <w:pPr>
        <w:rPr>
          <w:color w:val="000000"/>
        </w:rPr>
      </w:pPr>
    </w:p>
    <w:p w14:paraId="4740EC56">
      <w:pPr>
        <w:spacing w:line="324" w:lineRule="auto"/>
        <w:jc w:val="center"/>
        <w:rPr>
          <w:color w:val="000000"/>
          <w:spacing w:val="30"/>
          <w:sz w:val="28"/>
          <w:szCs w:val="28"/>
        </w:rPr>
      </w:pPr>
      <w:r>
        <w:rPr>
          <w:rFonts w:hint="eastAsia"/>
          <w:color w:val="000000"/>
          <w:spacing w:val="30"/>
          <w:sz w:val="28"/>
          <w:szCs w:val="28"/>
        </w:rPr>
        <w:t>中华人民共和国</w:t>
      </w:r>
    </w:p>
    <w:p w14:paraId="20B76FCB">
      <w:pPr>
        <w:spacing w:line="324" w:lineRule="auto"/>
        <w:jc w:val="center"/>
        <w:rPr>
          <w:color w:val="000000"/>
          <w:spacing w:val="30"/>
          <w:sz w:val="28"/>
          <w:szCs w:val="28"/>
        </w:rPr>
      </w:pPr>
      <w:r>
        <w:rPr>
          <w:rFonts w:hint="eastAsia"/>
          <w:color w:val="000000"/>
          <w:spacing w:val="30"/>
          <w:sz w:val="28"/>
          <w:szCs w:val="28"/>
        </w:rPr>
        <w:t>国家计量技术规范</w:t>
      </w:r>
    </w:p>
    <w:p w14:paraId="38487C57">
      <w:pPr>
        <w:spacing w:line="324" w:lineRule="auto"/>
        <w:jc w:val="center"/>
        <w:rPr>
          <w:rFonts w:eastAsia="黑体"/>
          <w:color w:val="000000"/>
          <w:spacing w:val="50"/>
          <w:sz w:val="28"/>
          <w:szCs w:val="28"/>
        </w:rPr>
      </w:pPr>
      <w:r>
        <w:rPr>
          <w:rFonts w:hint="eastAsia" w:eastAsia="黑体"/>
          <w:color w:val="000000"/>
          <w:spacing w:val="50"/>
          <w:sz w:val="28"/>
          <w:szCs w:val="28"/>
        </w:rPr>
        <w:t>XXXXXXXX</w:t>
      </w:r>
      <w:r>
        <w:rPr>
          <w:rFonts w:eastAsia="黑体"/>
          <w:color w:val="000000"/>
          <w:spacing w:val="50"/>
          <w:sz w:val="28"/>
          <w:szCs w:val="28"/>
        </w:rPr>
        <w:t>校准规范</w:t>
      </w:r>
    </w:p>
    <w:p w14:paraId="4FD6D4EB">
      <w:pPr>
        <w:spacing w:line="324" w:lineRule="auto"/>
        <w:jc w:val="center"/>
        <w:rPr>
          <w:b/>
          <w:color w:val="000000"/>
          <w:sz w:val="28"/>
          <w:szCs w:val="28"/>
        </w:rPr>
      </w:pPr>
      <w:r>
        <w:rPr>
          <w:b/>
          <w:color w:val="000000"/>
          <w:sz w:val="28"/>
          <w:szCs w:val="28"/>
        </w:rPr>
        <w:t>JJF</w:t>
      </w:r>
      <w:r>
        <w:rPr>
          <w:rFonts w:eastAsia="黑体"/>
          <w:color w:val="000000"/>
          <w:sz w:val="28"/>
          <w:szCs w:val="28"/>
        </w:rPr>
        <w:t>XXXX</w:t>
      </w:r>
      <w:r>
        <w:rPr>
          <w:color w:val="000000"/>
          <w:sz w:val="28"/>
          <w:szCs w:val="28"/>
        </w:rPr>
        <w:t>—</w:t>
      </w:r>
      <w:r>
        <w:rPr>
          <w:rFonts w:eastAsia="黑体"/>
          <w:color w:val="000000"/>
          <w:sz w:val="28"/>
          <w:szCs w:val="28"/>
        </w:rPr>
        <w:t>XXXX</w:t>
      </w:r>
    </w:p>
    <w:p w14:paraId="7FB327DD">
      <w:pPr>
        <w:spacing w:line="324" w:lineRule="auto"/>
        <w:jc w:val="center"/>
        <w:rPr>
          <w:color w:val="000000"/>
        </w:rPr>
      </w:pPr>
      <w:r>
        <w:rPr>
          <w:rFonts w:hint="eastAsia"/>
          <w:color w:val="000000"/>
          <w:spacing w:val="20"/>
          <w:sz w:val="28"/>
          <w:szCs w:val="28"/>
        </w:rPr>
        <w:t>国家市场监督管理总局</w:t>
      </w:r>
      <w:r>
        <w:rPr>
          <w:color w:val="000000"/>
          <w:spacing w:val="20"/>
          <w:sz w:val="28"/>
          <w:szCs w:val="28"/>
        </w:rPr>
        <w:t>发布</w:t>
      </w:r>
    </w:p>
    <w:sectPr>
      <w:pgSz w:w="11906" w:h="16838"/>
      <w:pgMar w:top="1264"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大标宋简体">
    <w:altName w:val="宋体"/>
    <w:panose1 w:val="00000000000000000000"/>
    <w:charset w:val="86"/>
    <w:family w:val="auto"/>
    <w:pitch w:val="default"/>
    <w:sig w:usb0="00000000" w:usb1="00000000" w:usb2="00000010" w:usb3="00000000" w:csb0="00040000" w:csb1="00000000"/>
  </w:font>
  <w:font w:name="方正大黑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5B7F1">
    <w:pPr>
      <w:pStyle w:val="10"/>
      <w:jc w:val="center"/>
      <w:rPr>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DE067">
    <w:pPr>
      <w:pStyle w:val="10"/>
      <w:ind w:firstLine="8640" w:firstLineChars="4800"/>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9956D">
    <w:pPr>
      <w:pStyle w:val="1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789C5">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469D2E85">
    <w:pPr>
      <w:pStyle w:val="1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DAC2C">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251D0">
    <w:pPr>
      <w:pStyle w:val="11"/>
      <w:rPr>
        <w:b/>
        <w:bCs/>
        <w:sz w:val="24"/>
      </w:rPr>
    </w:pPr>
  </w:p>
  <w:p w14:paraId="3A794C44">
    <w:pPr>
      <w:pStyle w:val="11"/>
      <w:rPr>
        <w:sz w:val="24"/>
      </w:rPr>
    </w:pPr>
    <w:r>
      <w:rPr>
        <w:rFonts w:hint="eastAsia" w:ascii="黑体" w:hAnsi="黑体" w:eastAsia="黑体"/>
        <w:b/>
        <w:bCs/>
        <w:sz w:val="21"/>
        <w:szCs w:val="21"/>
      </w:rPr>
      <w:t>JJF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5EEF8">
    <w:pPr>
      <w:pStyle w:val="11"/>
    </w:pPr>
    <w:r>
      <w:rPr>
        <w:rFonts w:hint="eastAsia"/>
      </w:rPr>
      <w:t>JJF XXXX</w:t>
    </w:r>
    <w:r>
      <w:t>-</w:t>
    </w:r>
    <w:r>
      <w:rPr>
        <w:rFonts w:hint="eastAsia"/>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55884">
    <w:pPr>
      <w:pStyle w:val="11"/>
      <w:rPr>
        <w:rFonts w:hint="eastAsia" w:ascii="黑体" w:hAnsi="黑体" w:eastAsia="黑体"/>
        <w:sz w:val="21"/>
        <w:szCs w:val="21"/>
      </w:rPr>
    </w:pPr>
    <w:r>
      <w:rPr>
        <w:rFonts w:hint="eastAsia" w:ascii="黑体" w:hAnsi="黑体" w:eastAsia="黑体"/>
        <w:sz w:val="21"/>
        <w:szCs w:val="21"/>
      </w:rPr>
      <w:t>JJF XXXX</w:t>
    </w:r>
    <w:r>
      <w:rPr>
        <w:rFonts w:ascii="黑体" w:hAnsi="黑体" w:eastAsia="黑体"/>
        <w:sz w:val="21"/>
        <w:szCs w:val="21"/>
      </w:rPr>
      <w:t>-</w:t>
    </w:r>
    <w:r>
      <w:rPr>
        <w:rFonts w:hint="eastAsia" w:ascii="黑体" w:hAnsi="黑体" w:eastAsia="黑体"/>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E1FF1"/>
    <w:multiLevelType w:val="multilevel"/>
    <w:tmpl w:val="220E1FF1"/>
    <w:lvl w:ilvl="0" w:tentative="0">
      <w:start w:val="1"/>
      <w:numFmt w:val="lowerLetter"/>
      <w:lvlText w:val="%1）"/>
      <w:lvlJc w:val="left"/>
      <w:pPr>
        <w:tabs>
          <w:tab w:val="left" w:pos="0"/>
        </w:tabs>
        <w:ind w:left="0" w:firstLine="0"/>
      </w:pPr>
      <w:rPr>
        <w:rFonts w:hint="default"/>
      </w:rPr>
    </w:lvl>
    <w:lvl w:ilvl="1" w:tentative="0">
      <w:start w:val="1"/>
      <w:numFmt w:val="decimal"/>
      <w:lvlText w:val="%2．"/>
      <w:lvlJc w:val="left"/>
      <w:pPr>
        <w:tabs>
          <w:tab w:val="left" w:pos="780"/>
        </w:tabs>
        <w:ind w:left="780" w:hanging="360"/>
      </w:pPr>
      <w:rPr>
        <w:rFonts w:hint="default" w:ascii="Times New Roman"/>
        <w:u w:val="none"/>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290468C"/>
    <w:multiLevelType w:val="multilevel"/>
    <w:tmpl w:val="4290468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numFmt w:val="decimalFullWidth"/>
    <w:numRestart w:val="eachPage"/>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zRkNGIzZTI3NjY2ODY1OTljZGZkMzViNGQ1MjUifQ=="/>
  </w:docVars>
  <w:rsids>
    <w:rsidRoot w:val="00D405D8"/>
    <w:rsid w:val="0000049F"/>
    <w:rsid w:val="00004D99"/>
    <w:rsid w:val="00004DB0"/>
    <w:rsid w:val="00007E8D"/>
    <w:rsid w:val="0001516D"/>
    <w:rsid w:val="0001519C"/>
    <w:rsid w:val="000153C6"/>
    <w:rsid w:val="00023625"/>
    <w:rsid w:val="00024155"/>
    <w:rsid w:val="000304C7"/>
    <w:rsid w:val="00031DD5"/>
    <w:rsid w:val="00032062"/>
    <w:rsid w:val="000325F8"/>
    <w:rsid w:val="000414CE"/>
    <w:rsid w:val="00050D2E"/>
    <w:rsid w:val="00061142"/>
    <w:rsid w:val="0006290B"/>
    <w:rsid w:val="00065859"/>
    <w:rsid w:val="000718BE"/>
    <w:rsid w:val="0007397F"/>
    <w:rsid w:val="000739A2"/>
    <w:rsid w:val="00077085"/>
    <w:rsid w:val="00077782"/>
    <w:rsid w:val="00081EE8"/>
    <w:rsid w:val="000820E2"/>
    <w:rsid w:val="0008566A"/>
    <w:rsid w:val="0009004A"/>
    <w:rsid w:val="00090800"/>
    <w:rsid w:val="00093CF9"/>
    <w:rsid w:val="0009410B"/>
    <w:rsid w:val="000A10F1"/>
    <w:rsid w:val="000A4A21"/>
    <w:rsid w:val="000A6D98"/>
    <w:rsid w:val="000B265F"/>
    <w:rsid w:val="000B787D"/>
    <w:rsid w:val="000C097B"/>
    <w:rsid w:val="000C0B2B"/>
    <w:rsid w:val="000C134C"/>
    <w:rsid w:val="000C3E71"/>
    <w:rsid w:val="000E6736"/>
    <w:rsid w:val="000E7181"/>
    <w:rsid w:val="000F29A1"/>
    <w:rsid w:val="00103585"/>
    <w:rsid w:val="0011182A"/>
    <w:rsid w:val="001139A7"/>
    <w:rsid w:val="001322D1"/>
    <w:rsid w:val="00134237"/>
    <w:rsid w:val="00140F98"/>
    <w:rsid w:val="00143E86"/>
    <w:rsid w:val="00146D0A"/>
    <w:rsid w:val="00152C19"/>
    <w:rsid w:val="00153EB7"/>
    <w:rsid w:val="00154D3E"/>
    <w:rsid w:val="0016303A"/>
    <w:rsid w:val="00167EF5"/>
    <w:rsid w:val="0017637E"/>
    <w:rsid w:val="00176FC7"/>
    <w:rsid w:val="001826FD"/>
    <w:rsid w:val="00190592"/>
    <w:rsid w:val="001951EE"/>
    <w:rsid w:val="001A08EA"/>
    <w:rsid w:val="001A3B0B"/>
    <w:rsid w:val="001B3873"/>
    <w:rsid w:val="001C6169"/>
    <w:rsid w:val="001C68C2"/>
    <w:rsid w:val="001D02A6"/>
    <w:rsid w:val="001D1BF4"/>
    <w:rsid w:val="001D23AE"/>
    <w:rsid w:val="001D4A06"/>
    <w:rsid w:val="001D5EDB"/>
    <w:rsid w:val="001D7AAF"/>
    <w:rsid w:val="001E0EC9"/>
    <w:rsid w:val="001E13DB"/>
    <w:rsid w:val="001E4556"/>
    <w:rsid w:val="001F1A58"/>
    <w:rsid w:val="001F630D"/>
    <w:rsid w:val="001F789A"/>
    <w:rsid w:val="0020123B"/>
    <w:rsid w:val="00201512"/>
    <w:rsid w:val="002104BA"/>
    <w:rsid w:val="0021162B"/>
    <w:rsid w:val="00211F30"/>
    <w:rsid w:val="002141E8"/>
    <w:rsid w:val="0022466F"/>
    <w:rsid w:val="0022689E"/>
    <w:rsid w:val="00226FE3"/>
    <w:rsid w:val="00232998"/>
    <w:rsid w:val="0024018E"/>
    <w:rsid w:val="0024054E"/>
    <w:rsid w:val="00243D48"/>
    <w:rsid w:val="00251519"/>
    <w:rsid w:val="002561B7"/>
    <w:rsid w:val="00257510"/>
    <w:rsid w:val="00257CF3"/>
    <w:rsid w:val="00267243"/>
    <w:rsid w:val="00271708"/>
    <w:rsid w:val="0027383D"/>
    <w:rsid w:val="002807CD"/>
    <w:rsid w:val="00281439"/>
    <w:rsid w:val="00290767"/>
    <w:rsid w:val="00294708"/>
    <w:rsid w:val="00294A20"/>
    <w:rsid w:val="0029639D"/>
    <w:rsid w:val="002A1B6F"/>
    <w:rsid w:val="002A1F25"/>
    <w:rsid w:val="002A7B84"/>
    <w:rsid w:val="002C118C"/>
    <w:rsid w:val="002C323C"/>
    <w:rsid w:val="002C33B0"/>
    <w:rsid w:val="002D3071"/>
    <w:rsid w:val="002D3210"/>
    <w:rsid w:val="002D40F6"/>
    <w:rsid w:val="002D7E58"/>
    <w:rsid w:val="002F025C"/>
    <w:rsid w:val="002F646D"/>
    <w:rsid w:val="00301AB2"/>
    <w:rsid w:val="00301E17"/>
    <w:rsid w:val="00305D1C"/>
    <w:rsid w:val="00311835"/>
    <w:rsid w:val="00315B55"/>
    <w:rsid w:val="0032313F"/>
    <w:rsid w:val="00335CFB"/>
    <w:rsid w:val="00352780"/>
    <w:rsid w:val="00364C66"/>
    <w:rsid w:val="00370495"/>
    <w:rsid w:val="003729EA"/>
    <w:rsid w:val="00372A71"/>
    <w:rsid w:val="0037542D"/>
    <w:rsid w:val="003826AD"/>
    <w:rsid w:val="00382BAE"/>
    <w:rsid w:val="00384394"/>
    <w:rsid w:val="003940E7"/>
    <w:rsid w:val="0039543F"/>
    <w:rsid w:val="00395870"/>
    <w:rsid w:val="003B01F3"/>
    <w:rsid w:val="003B4F80"/>
    <w:rsid w:val="003B5394"/>
    <w:rsid w:val="003B65C3"/>
    <w:rsid w:val="003B712C"/>
    <w:rsid w:val="003C1B1C"/>
    <w:rsid w:val="003D0202"/>
    <w:rsid w:val="003D7C43"/>
    <w:rsid w:val="003E1E72"/>
    <w:rsid w:val="003E20DE"/>
    <w:rsid w:val="003E255F"/>
    <w:rsid w:val="003F10DE"/>
    <w:rsid w:val="00406008"/>
    <w:rsid w:val="00417690"/>
    <w:rsid w:val="0042738C"/>
    <w:rsid w:val="004347D9"/>
    <w:rsid w:val="00436022"/>
    <w:rsid w:val="00437344"/>
    <w:rsid w:val="0044401A"/>
    <w:rsid w:val="0044537D"/>
    <w:rsid w:val="004516C1"/>
    <w:rsid w:val="0045573A"/>
    <w:rsid w:val="00457A47"/>
    <w:rsid w:val="00460196"/>
    <w:rsid w:val="00465DD9"/>
    <w:rsid w:val="00467637"/>
    <w:rsid w:val="00471E9E"/>
    <w:rsid w:val="004756E2"/>
    <w:rsid w:val="00482D3E"/>
    <w:rsid w:val="00490F2A"/>
    <w:rsid w:val="004922D1"/>
    <w:rsid w:val="00493F4F"/>
    <w:rsid w:val="00495913"/>
    <w:rsid w:val="00495DC6"/>
    <w:rsid w:val="004A274B"/>
    <w:rsid w:val="004A4E6E"/>
    <w:rsid w:val="004A7103"/>
    <w:rsid w:val="004B40F6"/>
    <w:rsid w:val="004B438C"/>
    <w:rsid w:val="004B675D"/>
    <w:rsid w:val="004B7053"/>
    <w:rsid w:val="004C5BD3"/>
    <w:rsid w:val="004C7CD4"/>
    <w:rsid w:val="004D4754"/>
    <w:rsid w:val="004D649A"/>
    <w:rsid w:val="004D77C6"/>
    <w:rsid w:val="004E039D"/>
    <w:rsid w:val="004E0E28"/>
    <w:rsid w:val="004E2DE3"/>
    <w:rsid w:val="004E4331"/>
    <w:rsid w:val="004E6F59"/>
    <w:rsid w:val="004F09FF"/>
    <w:rsid w:val="004F0E08"/>
    <w:rsid w:val="00502FAF"/>
    <w:rsid w:val="00504190"/>
    <w:rsid w:val="00505F22"/>
    <w:rsid w:val="00511EE7"/>
    <w:rsid w:val="00514C1F"/>
    <w:rsid w:val="0053061A"/>
    <w:rsid w:val="00530D16"/>
    <w:rsid w:val="00535508"/>
    <w:rsid w:val="00541BA0"/>
    <w:rsid w:val="0054549B"/>
    <w:rsid w:val="00550E29"/>
    <w:rsid w:val="0056453C"/>
    <w:rsid w:val="00567FA5"/>
    <w:rsid w:val="00576883"/>
    <w:rsid w:val="00581B39"/>
    <w:rsid w:val="00581BD8"/>
    <w:rsid w:val="005876E5"/>
    <w:rsid w:val="005917E0"/>
    <w:rsid w:val="005A6105"/>
    <w:rsid w:val="005A61B6"/>
    <w:rsid w:val="005B3CBA"/>
    <w:rsid w:val="005B6D29"/>
    <w:rsid w:val="005B7924"/>
    <w:rsid w:val="005C20E4"/>
    <w:rsid w:val="005C6741"/>
    <w:rsid w:val="005D3C0A"/>
    <w:rsid w:val="005D645F"/>
    <w:rsid w:val="005F22A1"/>
    <w:rsid w:val="005F2E3A"/>
    <w:rsid w:val="005F6350"/>
    <w:rsid w:val="00602342"/>
    <w:rsid w:val="00603397"/>
    <w:rsid w:val="00605129"/>
    <w:rsid w:val="00612581"/>
    <w:rsid w:val="00621743"/>
    <w:rsid w:val="00624E65"/>
    <w:rsid w:val="00625E44"/>
    <w:rsid w:val="0062662A"/>
    <w:rsid w:val="006268D0"/>
    <w:rsid w:val="00633BCD"/>
    <w:rsid w:val="00635C3E"/>
    <w:rsid w:val="00635D6B"/>
    <w:rsid w:val="0064388D"/>
    <w:rsid w:val="00654111"/>
    <w:rsid w:val="00655A71"/>
    <w:rsid w:val="00673604"/>
    <w:rsid w:val="00674413"/>
    <w:rsid w:val="006754AB"/>
    <w:rsid w:val="006771FD"/>
    <w:rsid w:val="00680829"/>
    <w:rsid w:val="00683EAF"/>
    <w:rsid w:val="00686C86"/>
    <w:rsid w:val="006877FD"/>
    <w:rsid w:val="00692AE7"/>
    <w:rsid w:val="00695E87"/>
    <w:rsid w:val="006A1ADF"/>
    <w:rsid w:val="006A505F"/>
    <w:rsid w:val="006A6C84"/>
    <w:rsid w:val="006A79BD"/>
    <w:rsid w:val="006B116D"/>
    <w:rsid w:val="006B14A7"/>
    <w:rsid w:val="006B1DCF"/>
    <w:rsid w:val="006C29E1"/>
    <w:rsid w:val="006C439E"/>
    <w:rsid w:val="006C5EE5"/>
    <w:rsid w:val="006D4D3F"/>
    <w:rsid w:val="006D529D"/>
    <w:rsid w:val="006E1A71"/>
    <w:rsid w:val="006E2CDC"/>
    <w:rsid w:val="006E36B0"/>
    <w:rsid w:val="006F7674"/>
    <w:rsid w:val="00705CE7"/>
    <w:rsid w:val="00706A5B"/>
    <w:rsid w:val="00707888"/>
    <w:rsid w:val="00713B52"/>
    <w:rsid w:val="00716282"/>
    <w:rsid w:val="007227B5"/>
    <w:rsid w:val="0072409F"/>
    <w:rsid w:val="0072471D"/>
    <w:rsid w:val="0072710B"/>
    <w:rsid w:val="007275DA"/>
    <w:rsid w:val="00742931"/>
    <w:rsid w:val="00742E64"/>
    <w:rsid w:val="00743CE8"/>
    <w:rsid w:val="007526C4"/>
    <w:rsid w:val="007550A8"/>
    <w:rsid w:val="00756218"/>
    <w:rsid w:val="00756F72"/>
    <w:rsid w:val="0076739A"/>
    <w:rsid w:val="00771B49"/>
    <w:rsid w:val="0077628A"/>
    <w:rsid w:val="00777F74"/>
    <w:rsid w:val="0078193A"/>
    <w:rsid w:val="0078201C"/>
    <w:rsid w:val="00784A34"/>
    <w:rsid w:val="0078541B"/>
    <w:rsid w:val="00790EF3"/>
    <w:rsid w:val="00794F72"/>
    <w:rsid w:val="007A34F3"/>
    <w:rsid w:val="007A48B7"/>
    <w:rsid w:val="007B2960"/>
    <w:rsid w:val="007B2DB2"/>
    <w:rsid w:val="007B63C2"/>
    <w:rsid w:val="007C3DBB"/>
    <w:rsid w:val="007C7D86"/>
    <w:rsid w:val="007D3DC6"/>
    <w:rsid w:val="007E11DF"/>
    <w:rsid w:val="007E314D"/>
    <w:rsid w:val="007F2130"/>
    <w:rsid w:val="007F65EF"/>
    <w:rsid w:val="007F7077"/>
    <w:rsid w:val="00803849"/>
    <w:rsid w:val="00806556"/>
    <w:rsid w:val="0080765A"/>
    <w:rsid w:val="008104E3"/>
    <w:rsid w:val="0081149A"/>
    <w:rsid w:val="00817591"/>
    <w:rsid w:val="00826183"/>
    <w:rsid w:val="008405E9"/>
    <w:rsid w:val="00843DA2"/>
    <w:rsid w:val="00847094"/>
    <w:rsid w:val="008508D8"/>
    <w:rsid w:val="008660BF"/>
    <w:rsid w:val="00866737"/>
    <w:rsid w:val="00875FF3"/>
    <w:rsid w:val="0088693C"/>
    <w:rsid w:val="00893932"/>
    <w:rsid w:val="008944D0"/>
    <w:rsid w:val="0089506C"/>
    <w:rsid w:val="00896255"/>
    <w:rsid w:val="008A1217"/>
    <w:rsid w:val="008A3E56"/>
    <w:rsid w:val="008A7343"/>
    <w:rsid w:val="008B0368"/>
    <w:rsid w:val="008B0C1A"/>
    <w:rsid w:val="008C2D33"/>
    <w:rsid w:val="008C313F"/>
    <w:rsid w:val="008C36EB"/>
    <w:rsid w:val="008C47D2"/>
    <w:rsid w:val="008C5D32"/>
    <w:rsid w:val="008D0DED"/>
    <w:rsid w:val="008D1E05"/>
    <w:rsid w:val="008D4039"/>
    <w:rsid w:val="008F07E2"/>
    <w:rsid w:val="00901349"/>
    <w:rsid w:val="009038E3"/>
    <w:rsid w:val="00904A1A"/>
    <w:rsid w:val="00910E1B"/>
    <w:rsid w:val="009114DA"/>
    <w:rsid w:val="00912106"/>
    <w:rsid w:val="00913914"/>
    <w:rsid w:val="00914FB7"/>
    <w:rsid w:val="00926BBA"/>
    <w:rsid w:val="00940570"/>
    <w:rsid w:val="00940716"/>
    <w:rsid w:val="00943A0B"/>
    <w:rsid w:val="00944B78"/>
    <w:rsid w:val="009461FD"/>
    <w:rsid w:val="009528F0"/>
    <w:rsid w:val="00954C3F"/>
    <w:rsid w:val="009551D2"/>
    <w:rsid w:val="0096795B"/>
    <w:rsid w:val="00971479"/>
    <w:rsid w:val="0097224D"/>
    <w:rsid w:val="00973731"/>
    <w:rsid w:val="00977FF5"/>
    <w:rsid w:val="0098035F"/>
    <w:rsid w:val="00983B47"/>
    <w:rsid w:val="009907A4"/>
    <w:rsid w:val="0099106B"/>
    <w:rsid w:val="009917BD"/>
    <w:rsid w:val="00994048"/>
    <w:rsid w:val="009955D8"/>
    <w:rsid w:val="00995BEB"/>
    <w:rsid w:val="009B31AF"/>
    <w:rsid w:val="009B3E06"/>
    <w:rsid w:val="009B56C5"/>
    <w:rsid w:val="009B65EF"/>
    <w:rsid w:val="009C17F2"/>
    <w:rsid w:val="009C4EF2"/>
    <w:rsid w:val="009C5241"/>
    <w:rsid w:val="009C7D47"/>
    <w:rsid w:val="009D0F46"/>
    <w:rsid w:val="009D76CB"/>
    <w:rsid w:val="009E084C"/>
    <w:rsid w:val="009E5767"/>
    <w:rsid w:val="009F179A"/>
    <w:rsid w:val="009F6894"/>
    <w:rsid w:val="009F6DD9"/>
    <w:rsid w:val="009F7A26"/>
    <w:rsid w:val="00A029B5"/>
    <w:rsid w:val="00A03B51"/>
    <w:rsid w:val="00A10D2C"/>
    <w:rsid w:val="00A167F7"/>
    <w:rsid w:val="00A20CD4"/>
    <w:rsid w:val="00A30B8C"/>
    <w:rsid w:val="00A43B8D"/>
    <w:rsid w:val="00A4663B"/>
    <w:rsid w:val="00A47C5E"/>
    <w:rsid w:val="00A522D8"/>
    <w:rsid w:val="00A5347E"/>
    <w:rsid w:val="00A62E03"/>
    <w:rsid w:val="00A73462"/>
    <w:rsid w:val="00A747D7"/>
    <w:rsid w:val="00A75C7A"/>
    <w:rsid w:val="00A84BDF"/>
    <w:rsid w:val="00A84F43"/>
    <w:rsid w:val="00A91D2D"/>
    <w:rsid w:val="00A93166"/>
    <w:rsid w:val="00A95377"/>
    <w:rsid w:val="00A95FF8"/>
    <w:rsid w:val="00AA1508"/>
    <w:rsid w:val="00AA26AC"/>
    <w:rsid w:val="00AA49E9"/>
    <w:rsid w:val="00AA64CF"/>
    <w:rsid w:val="00AA6E91"/>
    <w:rsid w:val="00AA7609"/>
    <w:rsid w:val="00AB46A0"/>
    <w:rsid w:val="00AB48F8"/>
    <w:rsid w:val="00AB6DD9"/>
    <w:rsid w:val="00AC080A"/>
    <w:rsid w:val="00AC0868"/>
    <w:rsid w:val="00AC3CBA"/>
    <w:rsid w:val="00AC5734"/>
    <w:rsid w:val="00AD20DE"/>
    <w:rsid w:val="00AE0351"/>
    <w:rsid w:val="00AE6317"/>
    <w:rsid w:val="00AF50F7"/>
    <w:rsid w:val="00AF586B"/>
    <w:rsid w:val="00B0797E"/>
    <w:rsid w:val="00B12D06"/>
    <w:rsid w:val="00B17273"/>
    <w:rsid w:val="00B2052E"/>
    <w:rsid w:val="00B2108D"/>
    <w:rsid w:val="00B23E2A"/>
    <w:rsid w:val="00B24C8C"/>
    <w:rsid w:val="00B335F6"/>
    <w:rsid w:val="00B36797"/>
    <w:rsid w:val="00B368FE"/>
    <w:rsid w:val="00B45226"/>
    <w:rsid w:val="00B52369"/>
    <w:rsid w:val="00B566C4"/>
    <w:rsid w:val="00B64A4F"/>
    <w:rsid w:val="00B65426"/>
    <w:rsid w:val="00B70578"/>
    <w:rsid w:val="00B74B35"/>
    <w:rsid w:val="00B75FC8"/>
    <w:rsid w:val="00B8182E"/>
    <w:rsid w:val="00B84299"/>
    <w:rsid w:val="00B9206A"/>
    <w:rsid w:val="00B968CB"/>
    <w:rsid w:val="00B9751D"/>
    <w:rsid w:val="00BA4B34"/>
    <w:rsid w:val="00BA601B"/>
    <w:rsid w:val="00BB0DEF"/>
    <w:rsid w:val="00BB156E"/>
    <w:rsid w:val="00BB1DFD"/>
    <w:rsid w:val="00BB5114"/>
    <w:rsid w:val="00BC0FCF"/>
    <w:rsid w:val="00BC7130"/>
    <w:rsid w:val="00BC72E9"/>
    <w:rsid w:val="00BE2D7E"/>
    <w:rsid w:val="00BF3BEA"/>
    <w:rsid w:val="00BF5491"/>
    <w:rsid w:val="00C00848"/>
    <w:rsid w:val="00C00B4D"/>
    <w:rsid w:val="00C02711"/>
    <w:rsid w:val="00C03248"/>
    <w:rsid w:val="00C0515D"/>
    <w:rsid w:val="00C055AC"/>
    <w:rsid w:val="00C0612C"/>
    <w:rsid w:val="00C104B8"/>
    <w:rsid w:val="00C11745"/>
    <w:rsid w:val="00C12C31"/>
    <w:rsid w:val="00C2272A"/>
    <w:rsid w:val="00C23577"/>
    <w:rsid w:val="00C41C49"/>
    <w:rsid w:val="00C42F5D"/>
    <w:rsid w:val="00C43579"/>
    <w:rsid w:val="00C43878"/>
    <w:rsid w:val="00C502C0"/>
    <w:rsid w:val="00C510DE"/>
    <w:rsid w:val="00C56EDB"/>
    <w:rsid w:val="00C72A8B"/>
    <w:rsid w:val="00C7533E"/>
    <w:rsid w:val="00C82A3D"/>
    <w:rsid w:val="00C83936"/>
    <w:rsid w:val="00C84EF4"/>
    <w:rsid w:val="00C91CFE"/>
    <w:rsid w:val="00CA1C24"/>
    <w:rsid w:val="00CA3963"/>
    <w:rsid w:val="00CB13F5"/>
    <w:rsid w:val="00CB1B8A"/>
    <w:rsid w:val="00CB4EC4"/>
    <w:rsid w:val="00CC6360"/>
    <w:rsid w:val="00CD257D"/>
    <w:rsid w:val="00CD6630"/>
    <w:rsid w:val="00CE67D0"/>
    <w:rsid w:val="00CE7749"/>
    <w:rsid w:val="00CF269F"/>
    <w:rsid w:val="00CF4827"/>
    <w:rsid w:val="00CF643C"/>
    <w:rsid w:val="00D039C9"/>
    <w:rsid w:val="00D05A8F"/>
    <w:rsid w:val="00D07A75"/>
    <w:rsid w:val="00D1010C"/>
    <w:rsid w:val="00D111C3"/>
    <w:rsid w:val="00D11E9C"/>
    <w:rsid w:val="00D25DF1"/>
    <w:rsid w:val="00D270AB"/>
    <w:rsid w:val="00D33051"/>
    <w:rsid w:val="00D405D8"/>
    <w:rsid w:val="00D41842"/>
    <w:rsid w:val="00D43315"/>
    <w:rsid w:val="00D475D3"/>
    <w:rsid w:val="00D515E7"/>
    <w:rsid w:val="00D61D3A"/>
    <w:rsid w:val="00D62931"/>
    <w:rsid w:val="00D62B0D"/>
    <w:rsid w:val="00D63B35"/>
    <w:rsid w:val="00D65D00"/>
    <w:rsid w:val="00D736CA"/>
    <w:rsid w:val="00D76FE5"/>
    <w:rsid w:val="00D81635"/>
    <w:rsid w:val="00D81E19"/>
    <w:rsid w:val="00D86215"/>
    <w:rsid w:val="00D9565D"/>
    <w:rsid w:val="00DA2DF5"/>
    <w:rsid w:val="00DA3314"/>
    <w:rsid w:val="00DA3793"/>
    <w:rsid w:val="00DA5004"/>
    <w:rsid w:val="00DA50E6"/>
    <w:rsid w:val="00DB094D"/>
    <w:rsid w:val="00DB3E5B"/>
    <w:rsid w:val="00DB67F7"/>
    <w:rsid w:val="00DB6BC9"/>
    <w:rsid w:val="00DC1B11"/>
    <w:rsid w:val="00DD55A9"/>
    <w:rsid w:val="00DD5AB0"/>
    <w:rsid w:val="00DE44A6"/>
    <w:rsid w:val="00DF1654"/>
    <w:rsid w:val="00E00D5B"/>
    <w:rsid w:val="00E06020"/>
    <w:rsid w:val="00E10D5B"/>
    <w:rsid w:val="00E12764"/>
    <w:rsid w:val="00E21C95"/>
    <w:rsid w:val="00E220B9"/>
    <w:rsid w:val="00E23182"/>
    <w:rsid w:val="00E252EE"/>
    <w:rsid w:val="00E2628B"/>
    <w:rsid w:val="00E265F3"/>
    <w:rsid w:val="00E33AC6"/>
    <w:rsid w:val="00E600B9"/>
    <w:rsid w:val="00E67F0C"/>
    <w:rsid w:val="00E700B2"/>
    <w:rsid w:val="00E7088E"/>
    <w:rsid w:val="00E71B23"/>
    <w:rsid w:val="00E73576"/>
    <w:rsid w:val="00E76862"/>
    <w:rsid w:val="00E77195"/>
    <w:rsid w:val="00E77484"/>
    <w:rsid w:val="00E82FFE"/>
    <w:rsid w:val="00E8436D"/>
    <w:rsid w:val="00E863D5"/>
    <w:rsid w:val="00E910C5"/>
    <w:rsid w:val="00E95761"/>
    <w:rsid w:val="00E96D8B"/>
    <w:rsid w:val="00EA029E"/>
    <w:rsid w:val="00EA0EB4"/>
    <w:rsid w:val="00EA29B3"/>
    <w:rsid w:val="00EA4619"/>
    <w:rsid w:val="00EC0060"/>
    <w:rsid w:val="00EC138E"/>
    <w:rsid w:val="00EC3482"/>
    <w:rsid w:val="00ED0DA4"/>
    <w:rsid w:val="00ED22E9"/>
    <w:rsid w:val="00ED2806"/>
    <w:rsid w:val="00ED2C29"/>
    <w:rsid w:val="00ED51BE"/>
    <w:rsid w:val="00EE206E"/>
    <w:rsid w:val="00EE6CA9"/>
    <w:rsid w:val="00EE7A19"/>
    <w:rsid w:val="00EF60CA"/>
    <w:rsid w:val="00EF7646"/>
    <w:rsid w:val="00F01959"/>
    <w:rsid w:val="00F039D4"/>
    <w:rsid w:val="00F13B7C"/>
    <w:rsid w:val="00F22851"/>
    <w:rsid w:val="00F22F08"/>
    <w:rsid w:val="00F26BBA"/>
    <w:rsid w:val="00F27121"/>
    <w:rsid w:val="00F30DFE"/>
    <w:rsid w:val="00F368EF"/>
    <w:rsid w:val="00F50FB6"/>
    <w:rsid w:val="00F55014"/>
    <w:rsid w:val="00F7006C"/>
    <w:rsid w:val="00F72953"/>
    <w:rsid w:val="00F75475"/>
    <w:rsid w:val="00F843EF"/>
    <w:rsid w:val="00F8576D"/>
    <w:rsid w:val="00FA4B70"/>
    <w:rsid w:val="00FB1B82"/>
    <w:rsid w:val="00FB2141"/>
    <w:rsid w:val="00FB229F"/>
    <w:rsid w:val="00FB3B39"/>
    <w:rsid w:val="00FB6936"/>
    <w:rsid w:val="00FB69D1"/>
    <w:rsid w:val="00FB6BC3"/>
    <w:rsid w:val="00FB74F3"/>
    <w:rsid w:val="00FC0CD8"/>
    <w:rsid w:val="00FC4EDF"/>
    <w:rsid w:val="00FC6546"/>
    <w:rsid w:val="00FD051F"/>
    <w:rsid w:val="00FD5388"/>
    <w:rsid w:val="00FE6E21"/>
    <w:rsid w:val="00FF4AC3"/>
    <w:rsid w:val="00FF73ED"/>
    <w:rsid w:val="00FF7530"/>
    <w:rsid w:val="3BB836C9"/>
    <w:rsid w:val="52B27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1"/>
    <w:qFormat/>
    <w:uiPriority w:val="99"/>
    <w:pPr>
      <w:keepNext/>
      <w:ind w:firstLine="6720" w:firstLineChars="800"/>
      <w:outlineLvl w:val="0"/>
    </w:pPr>
    <w:rPr>
      <w:kern w:val="0"/>
      <w:sz w:val="20"/>
      <w:szCs w:val="20"/>
    </w:rPr>
  </w:style>
  <w:style w:type="paragraph" w:styleId="3">
    <w:name w:val="heading 2"/>
    <w:basedOn w:val="1"/>
    <w:next w:val="1"/>
    <w:link w:val="22"/>
    <w:qFormat/>
    <w:uiPriority w:val="99"/>
    <w:pPr>
      <w:keepNext/>
      <w:jc w:val="center"/>
      <w:outlineLvl w:val="1"/>
    </w:pPr>
    <w:rPr>
      <w:kern w:val="0"/>
      <w:sz w:val="20"/>
      <w:szCs w:val="20"/>
    </w:rPr>
  </w:style>
  <w:style w:type="paragraph" w:styleId="4">
    <w:name w:val="heading 3"/>
    <w:basedOn w:val="1"/>
    <w:next w:val="1"/>
    <w:link w:val="23"/>
    <w:qFormat/>
    <w:uiPriority w:val="99"/>
    <w:pPr>
      <w:keepNext/>
      <w:outlineLvl w:val="2"/>
    </w:pPr>
    <w:rPr>
      <w:kern w:val="0"/>
      <w:sz w:val="20"/>
      <w:szCs w:val="2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lock Text"/>
    <w:basedOn w:val="1"/>
    <w:qFormat/>
    <w:uiPriority w:val="0"/>
    <w:pPr>
      <w:ind w:left="-1418" w:right="-1558" w:firstLine="1418"/>
    </w:pPr>
    <w:rPr>
      <w:sz w:val="28"/>
      <w:szCs w:val="20"/>
    </w:rPr>
  </w:style>
  <w:style w:type="paragraph" w:styleId="7">
    <w:name w:val="Plain Text"/>
    <w:basedOn w:val="1"/>
    <w:link w:val="25"/>
    <w:qFormat/>
    <w:uiPriority w:val="0"/>
    <w:rPr>
      <w:rFonts w:ascii="宋体" w:hAnsi="Courier New"/>
      <w:szCs w:val="20"/>
    </w:rPr>
  </w:style>
  <w:style w:type="paragraph" w:styleId="8">
    <w:name w:val="Date"/>
    <w:basedOn w:val="1"/>
    <w:next w:val="1"/>
    <w:link w:val="26"/>
    <w:qFormat/>
    <w:uiPriority w:val="99"/>
    <w:pPr>
      <w:ind w:left="100" w:leftChars="2500"/>
    </w:pPr>
    <w:rPr>
      <w:kern w:val="0"/>
      <w:sz w:val="24"/>
      <w:szCs w:val="24"/>
    </w:rPr>
  </w:style>
  <w:style w:type="paragraph" w:styleId="9">
    <w:name w:val="Balloon Text"/>
    <w:basedOn w:val="1"/>
    <w:link w:val="27"/>
    <w:semiHidden/>
    <w:qFormat/>
    <w:uiPriority w:val="99"/>
    <w:rPr>
      <w:rFonts w:eastAsia="仿宋_GB2312"/>
      <w:kern w:val="0"/>
      <w:sz w:val="18"/>
      <w:szCs w:val="18"/>
    </w:rPr>
  </w:style>
  <w:style w:type="paragraph" w:styleId="10">
    <w:name w:val="footer"/>
    <w:basedOn w:val="1"/>
    <w:link w:val="28"/>
    <w:qFormat/>
    <w:uiPriority w:val="0"/>
    <w:pPr>
      <w:tabs>
        <w:tab w:val="center" w:pos="4153"/>
        <w:tab w:val="right" w:pos="8306"/>
      </w:tabs>
      <w:snapToGrid w:val="0"/>
      <w:jc w:val="left"/>
    </w:pPr>
    <w:rPr>
      <w:kern w:val="0"/>
      <w:sz w:val="18"/>
      <w:szCs w:val="18"/>
    </w:rPr>
  </w:style>
  <w:style w:type="paragraph" w:styleId="11">
    <w:name w:val="header"/>
    <w:basedOn w:val="1"/>
    <w:link w:val="29"/>
    <w:qFormat/>
    <w:uiPriority w:val="0"/>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qFormat/>
    <w:locked/>
    <w:uiPriority w:val="39"/>
  </w:style>
  <w:style w:type="paragraph" w:styleId="13">
    <w:name w:val="toc 2"/>
    <w:basedOn w:val="1"/>
    <w:next w:val="1"/>
    <w:qFormat/>
    <w:locked/>
    <w:uiPriority w:val="39"/>
    <w:pPr>
      <w:ind w:left="420" w:leftChars="200"/>
    </w:pPr>
    <w:rPr>
      <w:szCs w:val="24"/>
    </w:rPr>
  </w:style>
  <w:style w:type="paragraph" w:styleId="14">
    <w:name w:val="annotation subject"/>
    <w:basedOn w:val="5"/>
    <w:next w:val="5"/>
    <w:link w:val="30"/>
    <w:unhideWhenUsed/>
    <w:qFormat/>
    <w:uiPriority w:val="99"/>
    <w:rPr>
      <w:b/>
      <w:bCs/>
    </w:rPr>
  </w:style>
  <w:style w:type="table" w:styleId="16">
    <w:name w:val="Table Grid"/>
    <w:basedOn w:val="15"/>
    <w:qFormat/>
    <w:locked/>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99"/>
    <w:rPr>
      <w:rFonts w:eastAsia="仿宋_GB2312"/>
      <w:sz w:val="24"/>
      <w:szCs w:val="24"/>
    </w:rPr>
  </w:style>
  <w:style w:type="character" w:styleId="19">
    <w:name w:val="Hyperlink"/>
    <w:qFormat/>
    <w:uiPriority w:val="99"/>
    <w:rPr>
      <w:color w:val="0000FF"/>
      <w:u w:val="single"/>
    </w:rPr>
  </w:style>
  <w:style w:type="character" w:styleId="20">
    <w:name w:val="annotation reference"/>
    <w:unhideWhenUsed/>
    <w:qFormat/>
    <w:uiPriority w:val="99"/>
    <w:rPr>
      <w:sz w:val="21"/>
      <w:szCs w:val="21"/>
    </w:rPr>
  </w:style>
  <w:style w:type="character" w:customStyle="1" w:styleId="21">
    <w:name w:val="标题 1 字符"/>
    <w:link w:val="2"/>
    <w:qFormat/>
    <w:locked/>
    <w:uiPriority w:val="99"/>
    <w:rPr>
      <w:rFonts w:ascii="Times New Roman" w:hAnsi="Times New Roman" w:eastAsia="宋体" w:cs="Times New Roman"/>
      <w:kern w:val="0"/>
      <w:sz w:val="20"/>
      <w:szCs w:val="20"/>
    </w:rPr>
  </w:style>
  <w:style w:type="character" w:customStyle="1" w:styleId="22">
    <w:name w:val="标题 2 字符"/>
    <w:link w:val="3"/>
    <w:qFormat/>
    <w:locked/>
    <w:uiPriority w:val="99"/>
    <w:rPr>
      <w:rFonts w:ascii="Times New Roman" w:hAnsi="Times New Roman" w:eastAsia="宋体" w:cs="Times New Roman"/>
      <w:kern w:val="0"/>
      <w:sz w:val="20"/>
      <w:szCs w:val="20"/>
    </w:rPr>
  </w:style>
  <w:style w:type="character" w:customStyle="1" w:styleId="23">
    <w:name w:val="标题 3 字符"/>
    <w:link w:val="4"/>
    <w:qFormat/>
    <w:locked/>
    <w:uiPriority w:val="99"/>
    <w:rPr>
      <w:rFonts w:ascii="Times New Roman" w:hAnsi="Times New Roman" w:eastAsia="宋体" w:cs="Times New Roman"/>
      <w:kern w:val="0"/>
      <w:sz w:val="20"/>
      <w:szCs w:val="20"/>
    </w:rPr>
  </w:style>
  <w:style w:type="character" w:customStyle="1" w:styleId="24">
    <w:name w:val="批注文字 字符"/>
    <w:link w:val="5"/>
    <w:semiHidden/>
    <w:qFormat/>
    <w:uiPriority w:val="99"/>
    <w:rPr>
      <w:rFonts w:ascii="Times New Roman" w:hAnsi="Times New Roman"/>
      <w:kern w:val="2"/>
      <w:sz w:val="21"/>
      <w:szCs w:val="21"/>
    </w:rPr>
  </w:style>
  <w:style w:type="character" w:customStyle="1" w:styleId="25">
    <w:name w:val="纯文本 字符"/>
    <w:link w:val="7"/>
    <w:qFormat/>
    <w:uiPriority w:val="0"/>
    <w:rPr>
      <w:rFonts w:ascii="宋体" w:hAnsi="Courier New"/>
      <w:kern w:val="2"/>
      <w:sz w:val="21"/>
    </w:rPr>
  </w:style>
  <w:style w:type="character" w:customStyle="1" w:styleId="26">
    <w:name w:val="日期 字符"/>
    <w:link w:val="8"/>
    <w:qFormat/>
    <w:locked/>
    <w:uiPriority w:val="99"/>
    <w:rPr>
      <w:rFonts w:ascii="Times New Roman" w:hAnsi="Times New Roman" w:eastAsia="宋体" w:cs="Times New Roman"/>
      <w:sz w:val="24"/>
      <w:szCs w:val="24"/>
    </w:rPr>
  </w:style>
  <w:style w:type="character" w:customStyle="1" w:styleId="27">
    <w:name w:val="批注框文本 字符"/>
    <w:link w:val="9"/>
    <w:semiHidden/>
    <w:qFormat/>
    <w:locked/>
    <w:uiPriority w:val="99"/>
    <w:rPr>
      <w:rFonts w:ascii="Times New Roman" w:hAnsi="Times New Roman" w:eastAsia="仿宋_GB2312" w:cs="Times New Roman"/>
      <w:sz w:val="18"/>
      <w:szCs w:val="18"/>
    </w:rPr>
  </w:style>
  <w:style w:type="character" w:customStyle="1" w:styleId="28">
    <w:name w:val="页脚 字符"/>
    <w:link w:val="10"/>
    <w:qFormat/>
    <w:locked/>
    <w:uiPriority w:val="99"/>
    <w:rPr>
      <w:rFonts w:ascii="Times New Roman" w:hAnsi="Times New Roman" w:eastAsia="宋体" w:cs="Times New Roman"/>
      <w:sz w:val="18"/>
      <w:szCs w:val="18"/>
    </w:rPr>
  </w:style>
  <w:style w:type="character" w:customStyle="1" w:styleId="29">
    <w:name w:val="页眉 字符"/>
    <w:link w:val="11"/>
    <w:qFormat/>
    <w:locked/>
    <w:uiPriority w:val="99"/>
    <w:rPr>
      <w:rFonts w:ascii="Times New Roman" w:hAnsi="Times New Roman" w:eastAsia="宋体" w:cs="Times New Roman"/>
      <w:sz w:val="18"/>
      <w:szCs w:val="18"/>
    </w:rPr>
  </w:style>
  <w:style w:type="character" w:customStyle="1" w:styleId="30">
    <w:name w:val="批注主题 字符"/>
    <w:link w:val="14"/>
    <w:semiHidden/>
    <w:qFormat/>
    <w:uiPriority w:val="99"/>
    <w:rPr>
      <w:rFonts w:ascii="Times New Roman" w:hAnsi="Times New Roman"/>
      <w:b/>
      <w:bCs/>
      <w:kern w:val="2"/>
      <w:sz w:val="21"/>
      <w:szCs w:val="21"/>
    </w:rPr>
  </w:style>
  <w:style w:type="character" w:customStyle="1" w:styleId="31">
    <w:name w:val="Date Char1"/>
    <w:semiHidden/>
    <w:qFormat/>
    <w:uiPriority w:val="99"/>
    <w:rPr>
      <w:rFonts w:ascii="Times New Roman" w:hAnsi="Times New Roman"/>
      <w:szCs w:val="21"/>
    </w:rPr>
  </w:style>
  <w:style w:type="character" w:customStyle="1" w:styleId="32">
    <w:name w:val="日期 Char1"/>
    <w:semiHidden/>
    <w:qFormat/>
    <w:uiPriority w:val="99"/>
    <w:rPr>
      <w:rFonts w:ascii="Times New Roman" w:hAnsi="Times New Roman" w:eastAsia="宋体" w:cs="Times New Roman"/>
      <w:sz w:val="24"/>
      <w:szCs w:val="24"/>
    </w:rPr>
  </w:style>
  <w:style w:type="character" w:customStyle="1" w:styleId="33">
    <w:name w:val="Footer Char1"/>
    <w:semiHidden/>
    <w:qFormat/>
    <w:uiPriority w:val="99"/>
    <w:rPr>
      <w:rFonts w:ascii="Times New Roman" w:hAnsi="Times New Roman"/>
      <w:sz w:val="18"/>
      <w:szCs w:val="18"/>
    </w:rPr>
  </w:style>
  <w:style w:type="character" w:customStyle="1" w:styleId="34">
    <w:name w:val="页脚 Char1"/>
    <w:semiHidden/>
    <w:uiPriority w:val="99"/>
    <w:rPr>
      <w:rFonts w:ascii="Times New Roman" w:hAnsi="Times New Roman" w:eastAsia="宋体" w:cs="Times New Roman"/>
      <w:sz w:val="18"/>
      <w:szCs w:val="18"/>
    </w:rPr>
  </w:style>
  <w:style w:type="character" w:customStyle="1" w:styleId="35">
    <w:name w:val="Header Char1"/>
    <w:semiHidden/>
    <w:qFormat/>
    <w:uiPriority w:val="99"/>
    <w:rPr>
      <w:rFonts w:ascii="Times New Roman" w:hAnsi="Times New Roman"/>
      <w:sz w:val="18"/>
      <w:szCs w:val="18"/>
    </w:rPr>
  </w:style>
  <w:style w:type="character" w:customStyle="1" w:styleId="36">
    <w:name w:val="页眉 Char1"/>
    <w:semiHidden/>
    <w:qFormat/>
    <w:uiPriority w:val="99"/>
    <w:rPr>
      <w:rFonts w:ascii="Times New Roman" w:hAnsi="Times New Roman" w:eastAsia="宋体" w:cs="Times New Roman"/>
      <w:sz w:val="18"/>
      <w:szCs w:val="18"/>
    </w:rPr>
  </w:style>
  <w:style w:type="paragraph" w:customStyle="1" w:styleId="37">
    <w:name w:val="Char Char Char Char Char Char Char Char Char Char Char Char Char"/>
    <w:basedOn w:val="1"/>
    <w:qFormat/>
    <w:uiPriority w:val="99"/>
    <w:pPr>
      <w:snapToGrid w:val="0"/>
      <w:spacing w:line="360" w:lineRule="auto"/>
      <w:ind w:firstLine="200" w:firstLineChars="200"/>
    </w:pPr>
    <w:rPr>
      <w:rFonts w:eastAsia="仿宋_GB2312"/>
      <w:sz w:val="24"/>
      <w:szCs w:val="24"/>
    </w:rPr>
  </w:style>
  <w:style w:type="character" w:styleId="38">
    <w:name w:val="Placeholder Text"/>
    <w:semiHidden/>
    <w:qFormat/>
    <w:uiPriority w:val="99"/>
    <w:rPr>
      <w:rFonts w:eastAsia="仿宋_GB2312"/>
      <w:color w:val="808080"/>
      <w:sz w:val="24"/>
      <w:szCs w:val="24"/>
    </w:rPr>
  </w:style>
  <w:style w:type="paragraph" w:customStyle="1" w:styleId="39">
    <w:name w:val="默认段落字体 Para Char"/>
    <w:basedOn w:val="1"/>
    <w:qFormat/>
    <w:uiPriority w:val="0"/>
    <w:rPr>
      <w:rFonts w:ascii="Tahoma" w:hAnsi="Tahoma"/>
      <w:iCs/>
      <w:sz w:val="24"/>
      <w:szCs w:val="20"/>
    </w:rPr>
  </w:style>
  <w:style w:type="paragraph" w:customStyle="1" w:styleId="40">
    <w:name w:val="Char"/>
    <w:basedOn w:val="1"/>
    <w:uiPriority w:val="0"/>
    <w:rPr>
      <w:szCs w:val="24"/>
    </w:rPr>
  </w:style>
  <w:style w:type="paragraph" w:customStyle="1" w:styleId="41">
    <w:name w:val="Revision"/>
    <w:semiHidden/>
    <w:uiPriority w:val="99"/>
    <w:rPr>
      <w:rFonts w:ascii="Times New Roman" w:hAnsi="Times New Roman" w:eastAsia="宋体" w:cs="Times New Roman"/>
      <w:kern w:val="2"/>
      <w:sz w:val="21"/>
      <w:szCs w:val="21"/>
      <w:lang w:val="en-US" w:eastAsia="zh-CN" w:bidi="ar-SA"/>
    </w:rPr>
  </w:style>
  <w:style w:type="paragraph" w:customStyle="1" w:styleId="42">
    <w:name w:val="标准文件_段"/>
    <w:qFormat/>
    <w:uiPriority w:val="0"/>
    <w:pPr>
      <w:autoSpaceDE w:val="0"/>
      <w:autoSpaceDN w:val="0"/>
      <w:spacing w:line="360" w:lineRule="auto"/>
      <w:ind w:firstLine="560" w:firstLineChars="200"/>
    </w:pPr>
    <w:rPr>
      <w:rFonts w:ascii="Times New Roman" w:hAnsi="Times New Roman" w:eastAsia="黑体" w:cs="Times New Roman"/>
      <w:spacing w:val="2"/>
      <w:sz w:val="24"/>
      <w:szCs w:val="24"/>
      <w:lang w:val="en-US" w:eastAsia="zh-CN" w:bidi="ar-SA"/>
    </w:rPr>
  </w:style>
  <w:style w:type="paragraph" w:styleId="4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w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E4E0E4-0E8A-4F44-AE28-5541BAFD53EE}">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17</Pages>
  <Words>4403</Words>
  <Characters>5215</Characters>
  <Lines>66</Lines>
  <Paragraphs>18</Paragraphs>
  <TotalTime>3116</TotalTime>
  <ScaleCrop>false</ScaleCrop>
  <LinksUpToDate>false</LinksUpToDate>
  <CharactersWithSpaces>5981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2023-11-11T08:24:00Z</dcterms:created>
  <dc:creator>FHX</dc:creator>
  <cp:lastModifiedBy>Bruis Kim</cp:lastModifiedBy>
  <cp:lastPrinted>2021-09-24T02:41:00Z</cp:lastPrinted>
  <dcterms:modified xsi:type="dcterms:W3CDTF">2025-09-15T15:14:19Z</dcterms:modified>
  <dc:title>中国测试技术研究院</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14FD305690DC49B5AF98BF1619499551_12</vt:lpwstr>
  </property>
  <property fmtid="{D5CDD505-2E9C-101B-9397-08002B2CF9AE}" pid="4" name="KSOTemplateDocerSaveRecord">
    <vt:lpwstr>eyJoZGlkIjoiMzEwNTM5NzYwMDRjMzkwZTVkZjY2ODkwMGIxNGU0OTUiLCJ1c2VySWQiOiI1ODE2NTg3NjIifQ==</vt:lpwstr>
  </property>
</Properties>
</file>